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4C3E3475" w:rsidR="0055176A" w:rsidRPr="00A268EA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DB5EFD">
        <w:rPr>
          <w:noProof w:val="0"/>
          <w:sz w:val="24"/>
          <w:szCs w:val="24"/>
        </w:rPr>
        <w:t>3</w:t>
      </w:r>
      <w:r w:rsidR="00CB173D">
        <w:rPr>
          <w:noProof w:val="0"/>
          <w:sz w:val="24"/>
          <w:szCs w:val="24"/>
        </w:rPr>
        <w:t>bis</w:t>
      </w:r>
      <w:r w:rsidRPr="00DE28D5">
        <w:rPr>
          <w:noProof w:val="0"/>
          <w:sz w:val="24"/>
          <w:szCs w:val="24"/>
        </w:rPr>
        <w:tab/>
      </w:r>
      <w:r w:rsidR="005C7484" w:rsidRPr="005C7484">
        <w:rPr>
          <w:noProof w:val="0"/>
          <w:sz w:val="24"/>
          <w:szCs w:val="24"/>
        </w:rPr>
        <w:t>R2-2311197</w:t>
      </w:r>
    </w:p>
    <w:p w14:paraId="6253D680" w14:textId="2212BA7A" w:rsidR="0055176A" w:rsidRPr="00AE5F97" w:rsidRDefault="00CB173D" w:rsidP="00CB173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 w:rsidRPr="00CB173D">
        <w:rPr>
          <w:rFonts w:ascii="Arial" w:hAnsi="Arial" w:cs="Arial"/>
          <w:b/>
          <w:bCs/>
          <w:sz w:val="24"/>
          <w:lang w:val="de-DE" w:eastAsia="ja-JP"/>
        </w:rPr>
        <w:t>Xiamen, China, October 9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13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>, 2023</w:t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230DEE6D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E9685E">
        <w:rPr>
          <w:rFonts w:ascii="Arial" w:hAnsi="Arial"/>
          <w:b/>
          <w:sz w:val="24"/>
          <w:lang w:eastAsia="ja-JP"/>
        </w:rPr>
        <w:t>7</w:t>
      </w:r>
      <w:r w:rsidR="004033F5" w:rsidRPr="004033F5">
        <w:rPr>
          <w:rFonts w:ascii="Arial" w:hAnsi="Arial"/>
          <w:b/>
          <w:sz w:val="24"/>
          <w:lang w:eastAsia="ja-JP"/>
        </w:rPr>
        <w:t>.19.3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4AE277FC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A477F9" w:rsidRPr="00A477F9">
        <w:rPr>
          <w:rFonts w:ascii="Arial" w:hAnsi="Arial"/>
          <w:b/>
          <w:sz w:val="24"/>
        </w:rPr>
        <w:t>Msg1 Early Indication for eRedcap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1A542850" w14:textId="4C74E805" w:rsidR="00B93E47" w:rsidRDefault="00B93E47" w:rsidP="00B93E47">
      <w:pPr>
        <w:jc w:val="both"/>
      </w:pPr>
      <w:r>
        <w:t>Msg1 Early Indication for eRedcap was agreed and further discussed in previous meetings. The corresponding agreements are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93E47" w14:paraId="06CD680A" w14:textId="77777777" w:rsidTr="00CA2487">
        <w:tc>
          <w:tcPr>
            <w:tcW w:w="9631" w:type="dxa"/>
          </w:tcPr>
          <w:p w14:paraId="299B4EF2" w14:textId="77777777" w:rsidR="00B93E47" w:rsidRDefault="00B93E47" w:rsidP="0010146F">
            <w:pPr>
              <w:jc w:val="both"/>
            </w:pPr>
            <w:r>
              <w:t>RAN2</w:t>
            </w:r>
          </w:p>
          <w:p w14:paraId="46305123" w14:textId="77777777" w:rsidR="00B93E47" w:rsidRPr="0090371F" w:rsidRDefault="00B93E47" w:rsidP="0010146F">
            <w:pPr>
              <w:pStyle w:val="ListParagraph"/>
              <w:numPr>
                <w:ilvl w:val="0"/>
                <w:numId w:val="36"/>
              </w:numPr>
            </w:pPr>
            <w:r w:rsidRPr="6F9D7E4D">
              <w:t xml:space="preserve">RAN2 confirms there are cell(s) supporting Rel-18 </w:t>
            </w:r>
            <w:proofErr w:type="spellStart"/>
            <w:r w:rsidRPr="6F9D7E4D">
              <w:t>eRedCap</w:t>
            </w:r>
            <w:proofErr w:type="spellEnd"/>
            <w:r w:rsidRPr="6F9D7E4D">
              <w:t xml:space="preserve"> only, </w:t>
            </w:r>
            <w:bookmarkStart w:id="1" w:name="_Int_gVHpP5i5"/>
            <w:r w:rsidRPr="6F9D7E4D">
              <w:t>i.e.</w:t>
            </w:r>
            <w:bookmarkEnd w:id="1"/>
            <w:r w:rsidRPr="6F9D7E4D">
              <w:t xml:space="preserve"> not supporting Rel-17 </w:t>
            </w:r>
            <w:proofErr w:type="spellStart"/>
            <w:r w:rsidRPr="6F9D7E4D">
              <w:t>RedCap</w:t>
            </w:r>
            <w:proofErr w:type="spellEnd"/>
            <w:r w:rsidRPr="6F9D7E4D">
              <w:t xml:space="preserve"> UE to camp and access.</w:t>
            </w:r>
          </w:p>
          <w:p w14:paraId="46A58089" w14:textId="77777777" w:rsidR="00B93E47" w:rsidRPr="0090371F" w:rsidRDefault="00B93E47" w:rsidP="0010146F">
            <w:pPr>
              <w:pStyle w:val="ListParagraph"/>
              <w:numPr>
                <w:ilvl w:val="0"/>
                <w:numId w:val="36"/>
              </w:numPr>
            </w:pPr>
            <w:bookmarkStart w:id="2" w:name="_Int_hYAUbxOy"/>
            <w:r w:rsidRPr="6F9D7E4D">
              <w:t>Additional</w:t>
            </w:r>
            <w:bookmarkEnd w:id="2"/>
            <w:r w:rsidRPr="6F9D7E4D">
              <w:t xml:space="preserve"> (on top of </w:t>
            </w:r>
            <w:proofErr w:type="spellStart"/>
            <w:r w:rsidRPr="6F9D7E4D">
              <w:t>RedCap</w:t>
            </w:r>
            <w:proofErr w:type="spellEnd"/>
            <w:r w:rsidRPr="6F9D7E4D">
              <w:t xml:space="preserve">) early indication in </w:t>
            </w:r>
            <w:proofErr w:type="spellStart"/>
            <w:r w:rsidRPr="6F9D7E4D">
              <w:t>MsgA</w:t>
            </w:r>
            <w:proofErr w:type="spellEnd"/>
            <w:r w:rsidRPr="6F9D7E4D">
              <w:t xml:space="preserve"> PRACH is not supported.</w:t>
            </w:r>
          </w:p>
          <w:p w14:paraId="5640D2EC" w14:textId="77777777" w:rsidR="00B93E47" w:rsidRPr="0090371F" w:rsidRDefault="00B93E47" w:rsidP="0010146F">
            <w:pPr>
              <w:pStyle w:val="ListParagraph"/>
              <w:numPr>
                <w:ilvl w:val="0"/>
                <w:numId w:val="36"/>
              </w:numPr>
            </w:pPr>
            <w:r w:rsidRPr="0090371F">
              <w:t>Add a new value “enhRedCap-r18” in FeatureCombination-r17</w:t>
            </w:r>
          </w:p>
          <w:p w14:paraId="0FE888B2" w14:textId="77777777" w:rsidR="00B93E47" w:rsidRPr="0090371F" w:rsidRDefault="00B93E47" w:rsidP="0010146F">
            <w:pPr>
              <w:pStyle w:val="ListParagraph"/>
              <w:numPr>
                <w:ilvl w:val="0"/>
                <w:numId w:val="36"/>
              </w:numPr>
            </w:pPr>
            <w:r w:rsidRPr="0090371F">
              <w:t>One FeatureCombination-r17 should not set both redCap-r17 and enhRedCap-r18 as true</w:t>
            </w:r>
          </w:p>
          <w:p w14:paraId="66D0C9C9" w14:textId="77777777" w:rsidR="00B93E47" w:rsidRDefault="00B93E47" w:rsidP="0010146F">
            <w:pPr>
              <w:jc w:val="both"/>
            </w:pPr>
          </w:p>
          <w:p w14:paraId="72DA1BE7" w14:textId="77777777" w:rsidR="00B93E47" w:rsidRDefault="00B93E47" w:rsidP="0010146F">
            <w:pPr>
              <w:jc w:val="both"/>
            </w:pPr>
            <w:r>
              <w:t>RAN1</w:t>
            </w:r>
          </w:p>
          <w:p w14:paraId="346D5EBC" w14:textId="77777777" w:rsidR="00B93E47" w:rsidRDefault="00B93E47" w:rsidP="0010146F">
            <w:pPr>
              <w:pStyle w:val="ListParagraph"/>
              <w:numPr>
                <w:ilvl w:val="0"/>
                <w:numId w:val="37"/>
              </w:numPr>
            </w:pPr>
            <w:r>
              <w:t xml:space="preserve">A network-configurable additional separate early indication in Msg1 for Rel-18 </w:t>
            </w:r>
            <w:proofErr w:type="spellStart"/>
            <w:r>
              <w:t>eRedCap</w:t>
            </w:r>
            <w:proofErr w:type="spellEnd"/>
            <w:r>
              <w:t xml:space="preserve"> UEs is supported.</w:t>
            </w:r>
          </w:p>
          <w:p w14:paraId="62D828D6" w14:textId="77777777" w:rsidR="00B93E47" w:rsidRDefault="00B93E47" w:rsidP="0010146F">
            <w:pPr>
              <w:pStyle w:val="ListParagraph"/>
              <w:numPr>
                <w:ilvl w:val="1"/>
                <w:numId w:val="37"/>
              </w:numPr>
            </w:pPr>
            <w:r>
              <w:t xml:space="preserve">When Msg1 indication for Rel-18 </w:t>
            </w:r>
            <w:proofErr w:type="spellStart"/>
            <w:r>
              <w:t>eRedCap</w:t>
            </w:r>
            <w:proofErr w:type="spellEnd"/>
            <w:r>
              <w:t xml:space="preserve"> UEs is configured, it is used by Rel-18 </w:t>
            </w:r>
            <w:proofErr w:type="spellStart"/>
            <w:r>
              <w:t>eRedCap</w:t>
            </w:r>
            <w:proofErr w:type="spellEnd"/>
            <w:r>
              <w:t xml:space="preserve"> UEs (with or without UE BB bandwidth reduction).</w:t>
            </w:r>
          </w:p>
          <w:p w14:paraId="19A39214" w14:textId="77777777" w:rsidR="00B93E47" w:rsidRDefault="00B93E47" w:rsidP="0010146F">
            <w:pPr>
              <w:pStyle w:val="ListParagraph"/>
              <w:numPr>
                <w:ilvl w:val="0"/>
                <w:numId w:val="37"/>
              </w:numPr>
            </w:pPr>
            <w:r w:rsidRPr="00EF6122">
              <w:rPr>
                <w:highlight w:val="yellow"/>
              </w:rPr>
              <w:t xml:space="preserve">When Msg1 indication for Rel-18 </w:t>
            </w:r>
            <w:proofErr w:type="spellStart"/>
            <w:r w:rsidRPr="00EF6122">
              <w:rPr>
                <w:highlight w:val="yellow"/>
              </w:rPr>
              <w:t>eRedCap</w:t>
            </w:r>
            <w:proofErr w:type="spellEnd"/>
            <w:r w:rsidRPr="00EF6122">
              <w:rPr>
                <w:highlight w:val="yellow"/>
              </w:rPr>
              <w:t xml:space="preserve"> UEs is not configured while Msg1 indication for Rel-17 </w:t>
            </w:r>
            <w:proofErr w:type="spellStart"/>
            <w:r w:rsidRPr="00EF6122">
              <w:rPr>
                <w:highlight w:val="yellow"/>
              </w:rPr>
              <w:t>RedCap</w:t>
            </w:r>
            <w:proofErr w:type="spellEnd"/>
            <w:r w:rsidRPr="00EF6122">
              <w:rPr>
                <w:highlight w:val="yellow"/>
              </w:rPr>
              <w:t xml:space="preserve"> UEs is configured, Rel-18 </w:t>
            </w:r>
            <w:proofErr w:type="spellStart"/>
            <w:r w:rsidRPr="00EF6122">
              <w:rPr>
                <w:highlight w:val="yellow"/>
              </w:rPr>
              <w:t>eRedCap</w:t>
            </w:r>
            <w:proofErr w:type="spellEnd"/>
            <w:r w:rsidRPr="00EF6122">
              <w:rPr>
                <w:highlight w:val="yellow"/>
              </w:rPr>
              <w:t xml:space="preserve"> UEs shall share the PRACH that is configured for Rel-17 </w:t>
            </w:r>
            <w:proofErr w:type="spellStart"/>
            <w:r w:rsidRPr="00EF6122">
              <w:rPr>
                <w:highlight w:val="yellow"/>
              </w:rPr>
              <w:t>RedCap</w:t>
            </w:r>
            <w:proofErr w:type="spellEnd"/>
            <w:r w:rsidRPr="00EF6122">
              <w:rPr>
                <w:highlight w:val="yellow"/>
              </w:rPr>
              <w:t xml:space="preserve"> UEs</w:t>
            </w:r>
            <w:r>
              <w:t>.</w:t>
            </w:r>
          </w:p>
          <w:p w14:paraId="3327D82B" w14:textId="77777777" w:rsidR="00B93E47" w:rsidRDefault="00B93E47" w:rsidP="0010146F">
            <w:pPr>
              <w:pStyle w:val="ListParagraph"/>
              <w:numPr>
                <w:ilvl w:val="1"/>
                <w:numId w:val="37"/>
              </w:numPr>
            </w:pPr>
            <w:r>
              <w:t xml:space="preserve">Note: Rel-18 </w:t>
            </w:r>
            <w:proofErr w:type="spellStart"/>
            <w:r>
              <w:t>eRedCap</w:t>
            </w:r>
            <w:proofErr w:type="spellEnd"/>
            <w:r>
              <w:t xml:space="preserve"> UEs will be differentiated from Rel-17 </w:t>
            </w:r>
            <w:proofErr w:type="spellStart"/>
            <w:r>
              <w:t>RedCap</w:t>
            </w:r>
            <w:proofErr w:type="spellEnd"/>
            <w:r>
              <w:t xml:space="preserve"> UEs based on Msg3 of Rel-18 </w:t>
            </w:r>
            <w:proofErr w:type="spellStart"/>
            <w:r>
              <w:t>eRedCap</w:t>
            </w:r>
            <w:proofErr w:type="spellEnd"/>
            <w:r>
              <w:t xml:space="preserve"> UEs.</w:t>
            </w:r>
          </w:p>
          <w:p w14:paraId="1A9CA75D" w14:textId="77777777" w:rsidR="00B93E47" w:rsidRDefault="00B93E47" w:rsidP="0010146F">
            <w:pPr>
              <w:pStyle w:val="ListParagraph"/>
              <w:numPr>
                <w:ilvl w:val="0"/>
                <w:numId w:val="37"/>
              </w:numPr>
            </w:pPr>
            <w:r>
              <w:t xml:space="preserve">Additional early indication in </w:t>
            </w:r>
            <w:proofErr w:type="spellStart"/>
            <w:r>
              <w:t>MsgA</w:t>
            </w:r>
            <w:proofErr w:type="spellEnd"/>
            <w:r>
              <w:t xml:space="preserve"> PRACH is not supported.</w:t>
            </w:r>
          </w:p>
        </w:tc>
      </w:tr>
    </w:tbl>
    <w:p w14:paraId="111D0587" w14:textId="77777777" w:rsidR="00B93E47" w:rsidRPr="00A02BCD" w:rsidRDefault="00B93E47" w:rsidP="00B93E47"/>
    <w:p w14:paraId="6C11969E" w14:textId="4F2DBB59" w:rsidR="00B93E47" w:rsidRDefault="00B93E47" w:rsidP="00C24D7F">
      <w:pPr>
        <w:jc w:val="both"/>
      </w:pPr>
      <w:r>
        <w:t xml:space="preserve">The topic was further discussed </w:t>
      </w:r>
      <w:r w:rsidR="00583610">
        <w:t xml:space="preserve">in the email </w:t>
      </w:r>
      <w:r w:rsidR="00583610">
        <w:t xml:space="preserve">discussion </w:t>
      </w:r>
      <w:r w:rsidR="00583610">
        <w:fldChar w:fldCharType="begin"/>
      </w:r>
      <w:r w:rsidR="00583610">
        <w:instrText xml:space="preserve"> REF _Ref146822507 \r \h </w:instrText>
      </w:r>
      <w:r w:rsidR="00583610">
        <w:fldChar w:fldCharType="separate"/>
      </w:r>
      <w:r w:rsidR="00583610">
        <w:t>[1]</w:t>
      </w:r>
      <w:r w:rsidR="00583610">
        <w:fldChar w:fldCharType="end"/>
      </w:r>
      <w:r w:rsidR="00583610">
        <w:t xml:space="preserve">, without conclusion. </w:t>
      </w:r>
      <w:r>
        <w:t>In this contribution we present our view on this topic.</w:t>
      </w:r>
    </w:p>
    <w:p w14:paraId="425EE88D" w14:textId="38DD554F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58B97F67" w14:textId="036BEA98" w:rsidR="0054655F" w:rsidRDefault="0099208F" w:rsidP="00D10B99">
      <w:pPr>
        <w:pStyle w:val="Heading2"/>
        <w:rPr>
          <w:lang w:eastAsia="ja-JP"/>
        </w:rPr>
      </w:pPr>
      <w:r>
        <w:rPr>
          <w:lang w:eastAsia="ja-JP"/>
        </w:rPr>
        <w:t>RACH Partitioning framework</w:t>
      </w:r>
    </w:p>
    <w:p w14:paraId="361DB58B" w14:textId="2CCA7688" w:rsidR="005D53A7" w:rsidRDefault="00B95B15" w:rsidP="000E5941">
      <w:pPr>
        <w:jc w:val="both"/>
        <w:rPr>
          <w:lang w:val="en-GB" w:eastAsia="ja-JP"/>
        </w:rPr>
      </w:pPr>
      <w:r>
        <w:rPr>
          <w:lang w:val="en-GB" w:eastAsia="ja-JP"/>
        </w:rPr>
        <w:t>The eRedcap Msg1 EI is implemented using t</w:t>
      </w:r>
      <w:r w:rsidR="0099208F">
        <w:rPr>
          <w:lang w:val="en-GB" w:eastAsia="ja-JP"/>
        </w:rPr>
        <w:t xml:space="preserve">he RACH partitioning framework </w:t>
      </w:r>
      <w:r>
        <w:rPr>
          <w:lang w:val="en-GB" w:eastAsia="ja-JP"/>
        </w:rPr>
        <w:t>defined in Rel-17.</w:t>
      </w:r>
    </w:p>
    <w:p w14:paraId="12AD6118" w14:textId="6F6CA5B3" w:rsidR="00B95B15" w:rsidRDefault="00B95B15" w:rsidP="000E5941">
      <w:pPr>
        <w:jc w:val="both"/>
        <w:rPr>
          <w:lang w:val="en-GB" w:eastAsia="ja-JP"/>
        </w:rPr>
      </w:pPr>
      <w:r>
        <w:rPr>
          <w:lang w:val="en-GB" w:eastAsia="ja-JP"/>
        </w:rPr>
        <w:t>The overall principle is as follows:</w:t>
      </w:r>
    </w:p>
    <w:p w14:paraId="2BB4318A" w14:textId="1237F42D" w:rsidR="00B95B15" w:rsidRDefault="00520F05" w:rsidP="000E5941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>A RA procedure can be associated to applicable/triggering feature(s) (e.g. Redcap, SDT, slicing, …)</w:t>
      </w:r>
    </w:p>
    <w:p w14:paraId="1FF1599A" w14:textId="60E3C4AC" w:rsidR="0010146F" w:rsidRPr="0010146F" w:rsidRDefault="0010146F" w:rsidP="000E5941">
      <w:pPr>
        <w:pStyle w:val="ListParagraph"/>
        <w:numPr>
          <w:ilvl w:val="0"/>
          <w:numId w:val="38"/>
        </w:numPr>
      </w:pPr>
      <w:r w:rsidRPr="0010146F">
        <w:t xml:space="preserve">RA partitions indicating non </w:t>
      </w:r>
      <w:r>
        <w:rPr>
          <w:lang w:val="en-GB"/>
        </w:rPr>
        <w:t>applicable/triggering feature(s)</w:t>
      </w:r>
      <w:r>
        <w:rPr>
          <w:lang w:val="en-GB"/>
        </w:rPr>
        <w:t xml:space="preserve"> are considered non-available</w:t>
      </w:r>
    </w:p>
    <w:p w14:paraId="5CABB41D" w14:textId="7A39EC4E" w:rsidR="0010146F" w:rsidRPr="0010146F" w:rsidRDefault="0010146F" w:rsidP="000E5941">
      <w:pPr>
        <w:pStyle w:val="ListParagraph"/>
        <w:numPr>
          <w:ilvl w:val="0"/>
          <w:numId w:val="38"/>
        </w:numPr>
      </w:pPr>
      <w:r>
        <w:t xml:space="preserve">RA partition matching all the </w:t>
      </w:r>
      <w:r>
        <w:rPr>
          <w:lang w:val="en-GB"/>
        </w:rPr>
        <w:t>applicable/triggering feature(s)</w:t>
      </w:r>
      <w:r>
        <w:rPr>
          <w:lang w:val="en-GB"/>
        </w:rPr>
        <w:t xml:space="preserve"> is selected (if configured)</w:t>
      </w:r>
    </w:p>
    <w:p w14:paraId="5F9369AD" w14:textId="77777777" w:rsidR="000E5941" w:rsidRPr="000E5941" w:rsidRDefault="0010146F" w:rsidP="000E5941">
      <w:pPr>
        <w:pStyle w:val="ListParagraph"/>
        <w:numPr>
          <w:ilvl w:val="0"/>
          <w:numId w:val="38"/>
        </w:numPr>
      </w:pPr>
      <w:r>
        <w:rPr>
          <w:lang w:val="en-GB"/>
        </w:rPr>
        <w:t xml:space="preserve">If only </w:t>
      </w:r>
      <w:r>
        <w:t>RA partition</w:t>
      </w:r>
      <w:r>
        <w:t xml:space="preserve">s indicating a subset of </w:t>
      </w:r>
      <w:r>
        <w:rPr>
          <w:lang w:val="en-GB"/>
        </w:rPr>
        <w:t>applicable/triggering feature(s)</w:t>
      </w:r>
      <w:r>
        <w:rPr>
          <w:lang w:val="en-GB"/>
        </w:rPr>
        <w:t xml:space="preserve"> are configured, a prioritization algorithm decides which one </w:t>
      </w:r>
      <w:r w:rsidR="000E5941">
        <w:rPr>
          <w:lang w:val="en-GB"/>
        </w:rPr>
        <w:t>to select</w:t>
      </w:r>
    </w:p>
    <w:p w14:paraId="1B2B6619" w14:textId="294F39ED" w:rsidR="0010146F" w:rsidRPr="0010146F" w:rsidRDefault="000E5941" w:rsidP="000E5941">
      <w:pPr>
        <w:pStyle w:val="ListParagraph"/>
        <w:numPr>
          <w:ilvl w:val="0"/>
          <w:numId w:val="38"/>
        </w:numPr>
      </w:pPr>
      <w:r>
        <w:rPr>
          <w:lang w:val="en-GB"/>
        </w:rPr>
        <w:t>If no such RA partition is configured, the common RA partition is selected.</w:t>
      </w:r>
      <w:r w:rsidR="0010146F">
        <w:rPr>
          <w:lang w:val="en-GB"/>
        </w:rPr>
        <w:t xml:space="preserve"> </w:t>
      </w:r>
    </w:p>
    <w:p w14:paraId="7DBFF5B2" w14:textId="1E7B8806" w:rsidR="002120C0" w:rsidRDefault="002120C0" w:rsidP="000E5941">
      <w:pPr>
        <w:jc w:val="both"/>
        <w:rPr>
          <w:lang w:val="en-GB" w:eastAsia="ja-JP"/>
        </w:rPr>
      </w:pPr>
      <w:r>
        <w:rPr>
          <w:lang w:val="en-GB" w:eastAsia="ja-JP"/>
        </w:rPr>
        <w:t>As it can be seen, in this framework:</w:t>
      </w:r>
    </w:p>
    <w:p w14:paraId="041E12F8" w14:textId="309DE0A8" w:rsidR="002120C0" w:rsidRDefault="002120C0" w:rsidP="002120C0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lastRenderedPageBreak/>
        <w:t xml:space="preserve">A UE shall not indicate non </w:t>
      </w:r>
      <w:r>
        <w:rPr>
          <w:lang w:val="en-GB"/>
        </w:rPr>
        <w:t>applicable/triggering feature(s)</w:t>
      </w:r>
    </w:p>
    <w:p w14:paraId="33C06CB7" w14:textId="228CAA4A" w:rsidR="002120C0" w:rsidRPr="002120C0" w:rsidRDefault="002120C0" w:rsidP="002120C0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A UE may indicate </w:t>
      </w:r>
      <w:r>
        <w:rPr>
          <w:lang w:val="en-GB"/>
        </w:rPr>
        <w:t>applicable/triggering feature(s)</w:t>
      </w:r>
    </w:p>
    <w:p w14:paraId="54689361" w14:textId="1FBD1461" w:rsidR="000E11E7" w:rsidRDefault="0099208F" w:rsidP="000E594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This framework is well adapted to </w:t>
      </w:r>
      <w:r w:rsidR="001C2095">
        <w:rPr>
          <w:lang w:val="en-GB" w:eastAsia="ja-JP"/>
        </w:rPr>
        <w:t>indicate</w:t>
      </w:r>
      <w:r>
        <w:rPr>
          <w:lang w:val="en-GB" w:eastAsia="ja-JP"/>
        </w:rPr>
        <w:t xml:space="preserve"> </w:t>
      </w:r>
      <w:r w:rsidR="00BB33B4">
        <w:rPr>
          <w:lang w:val="en-GB" w:eastAsia="ja-JP"/>
        </w:rPr>
        <w:t>“</w:t>
      </w:r>
      <w:r w:rsidR="001C2095">
        <w:rPr>
          <w:lang w:val="en-GB" w:eastAsia="ja-JP"/>
        </w:rPr>
        <w:t>additionally</w:t>
      </w:r>
      <w:r w:rsidR="00BB33B4">
        <w:rPr>
          <w:lang w:val="en-GB" w:eastAsia="ja-JP"/>
        </w:rPr>
        <w:t>”</w:t>
      </w:r>
      <w:r w:rsidR="001C2095">
        <w:rPr>
          <w:lang w:val="en-GB" w:eastAsia="ja-JP"/>
        </w:rPr>
        <w:t xml:space="preserve"> </w:t>
      </w:r>
      <w:r>
        <w:rPr>
          <w:lang w:val="en-GB" w:eastAsia="ja-JP"/>
        </w:rPr>
        <w:t>supported</w:t>
      </w:r>
      <w:r w:rsidR="001C2095">
        <w:rPr>
          <w:lang w:val="en-GB" w:eastAsia="ja-JP"/>
        </w:rPr>
        <w:t xml:space="preserve"> </w:t>
      </w:r>
      <w:r>
        <w:rPr>
          <w:lang w:val="en-GB" w:eastAsia="ja-JP"/>
        </w:rPr>
        <w:t>feature</w:t>
      </w:r>
      <w:r w:rsidR="001C2095">
        <w:rPr>
          <w:lang w:val="en-GB" w:eastAsia="ja-JP"/>
        </w:rPr>
        <w:t>s</w:t>
      </w:r>
      <w:r>
        <w:rPr>
          <w:lang w:val="en-GB" w:eastAsia="ja-JP"/>
        </w:rPr>
        <w:t xml:space="preserve">, where </w:t>
      </w:r>
      <w:r w:rsidR="001C2095">
        <w:rPr>
          <w:lang w:val="en-GB" w:eastAsia="ja-JP"/>
        </w:rPr>
        <w:t xml:space="preserve">knowledge of support/request to use is beneficial from Msg1. This </w:t>
      </w:r>
      <w:r w:rsidR="000E11E7">
        <w:rPr>
          <w:lang w:val="en-GB" w:eastAsia="ja-JP"/>
        </w:rPr>
        <w:t>is</w:t>
      </w:r>
      <w:r w:rsidR="001C2095">
        <w:rPr>
          <w:lang w:val="en-GB" w:eastAsia="ja-JP"/>
        </w:rPr>
        <w:t xml:space="preserve"> the case for instance for SDT access: upon </w:t>
      </w:r>
      <w:r w:rsidR="000E11E7">
        <w:rPr>
          <w:lang w:val="en-GB" w:eastAsia="ja-JP"/>
        </w:rPr>
        <w:t>indicati</w:t>
      </w:r>
      <w:r w:rsidR="002120C0">
        <w:rPr>
          <w:lang w:val="en-GB" w:eastAsia="ja-JP"/>
        </w:rPr>
        <w:t>on</w:t>
      </w:r>
      <w:r w:rsidR="001C2095">
        <w:rPr>
          <w:lang w:val="en-GB" w:eastAsia="ja-JP"/>
        </w:rPr>
        <w:t xml:space="preserve"> in Msg1, the NW may allocate a large Msg3</w:t>
      </w:r>
      <w:r w:rsidR="000E11E7">
        <w:rPr>
          <w:lang w:val="en-GB" w:eastAsia="ja-JP"/>
        </w:rPr>
        <w:t xml:space="preserve"> to encompass the small data</w:t>
      </w:r>
      <w:r w:rsidR="002120C0">
        <w:rPr>
          <w:lang w:val="en-GB" w:eastAsia="ja-JP"/>
        </w:rPr>
        <w:t xml:space="preserve"> transmission</w:t>
      </w:r>
      <w:r w:rsidR="000E11E7">
        <w:rPr>
          <w:lang w:val="en-GB" w:eastAsia="ja-JP"/>
        </w:rPr>
        <w:t xml:space="preserve">. However, not indicating SDT will not cause any interworking issue, because </w:t>
      </w:r>
      <w:r>
        <w:rPr>
          <w:lang w:val="en-GB" w:eastAsia="ja-JP"/>
        </w:rPr>
        <w:t>the baseline</w:t>
      </w:r>
      <w:r w:rsidR="000E11E7">
        <w:rPr>
          <w:lang w:val="en-GB" w:eastAsia="ja-JP"/>
        </w:rPr>
        <w:t xml:space="preserve"> (non-SDT) access</w:t>
      </w:r>
      <w:r>
        <w:rPr>
          <w:lang w:val="en-GB" w:eastAsia="ja-JP"/>
        </w:rPr>
        <w:t xml:space="preserve"> is anyway supported by the UE.</w:t>
      </w:r>
      <w:r w:rsidR="002120C0">
        <w:rPr>
          <w:lang w:val="en-GB" w:eastAsia="ja-JP"/>
        </w:rPr>
        <w:t xml:space="preserve"> </w:t>
      </w:r>
    </w:p>
    <w:p w14:paraId="03EC56EA" w14:textId="3A2E79B9" w:rsidR="002120C0" w:rsidRDefault="002120C0" w:rsidP="002120C0">
      <w:pPr>
        <w:pStyle w:val="Heading2"/>
        <w:rPr>
          <w:lang w:eastAsia="ja-JP"/>
        </w:rPr>
      </w:pPr>
      <w:r>
        <w:rPr>
          <w:lang w:eastAsia="ja-JP"/>
        </w:rPr>
        <w:t>Redcap/eRedcap features</w:t>
      </w:r>
    </w:p>
    <w:p w14:paraId="4C270627" w14:textId="42DD2D50" w:rsidR="0016188C" w:rsidRDefault="000E11E7" w:rsidP="000E594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However, there </w:t>
      </w:r>
      <w:r w:rsidR="004479BB">
        <w:rPr>
          <w:lang w:val="en-GB" w:eastAsia="ja-JP"/>
        </w:rPr>
        <w:t>are</w:t>
      </w:r>
      <w:r>
        <w:rPr>
          <w:lang w:val="en-GB" w:eastAsia="ja-JP"/>
        </w:rPr>
        <w:t xml:space="preserve"> features for which knowledge of support/request to use from Msg1 is not just </w:t>
      </w:r>
      <w:r w:rsidR="00E131FC">
        <w:rPr>
          <w:lang w:val="en-GB" w:eastAsia="ja-JP"/>
        </w:rPr>
        <w:t>beneficial but</w:t>
      </w:r>
      <w:r>
        <w:rPr>
          <w:lang w:val="en-GB" w:eastAsia="ja-JP"/>
        </w:rPr>
        <w:t xml:space="preserve"> requested for the feature to work (in a particular network deployment). </w:t>
      </w:r>
      <w:r w:rsidR="008663A9">
        <w:rPr>
          <w:lang w:val="en-GB" w:eastAsia="ja-JP"/>
        </w:rPr>
        <w:t xml:space="preserve">This is for instance the case of (e)Redcap. </w:t>
      </w:r>
      <w:r w:rsidR="00BB33B4">
        <w:rPr>
          <w:lang w:val="en-GB" w:eastAsia="ja-JP"/>
        </w:rPr>
        <w:t>T</w:t>
      </w:r>
      <w:r w:rsidR="008663A9">
        <w:rPr>
          <w:lang w:val="en-GB" w:eastAsia="ja-JP"/>
        </w:rPr>
        <w:t xml:space="preserve">he UE indicating support is </w:t>
      </w:r>
      <w:r w:rsidR="0016188C">
        <w:rPr>
          <w:lang w:val="en-GB" w:eastAsia="ja-JP"/>
        </w:rPr>
        <w:t xml:space="preserve">actually </w:t>
      </w:r>
      <w:r w:rsidR="008663A9">
        <w:rPr>
          <w:lang w:val="en-GB" w:eastAsia="ja-JP"/>
        </w:rPr>
        <w:t xml:space="preserve">indicating reduced capabilities </w:t>
      </w:r>
      <w:r w:rsidR="0078216D">
        <w:rPr>
          <w:lang w:val="en-GB" w:eastAsia="ja-JP"/>
        </w:rPr>
        <w:t>to which the NW is requested to adapt</w:t>
      </w:r>
      <w:r w:rsidR="008663A9">
        <w:rPr>
          <w:lang w:val="en-GB" w:eastAsia="ja-JP"/>
        </w:rPr>
        <w:t xml:space="preserve"> (e.g., scheduling of Msg3 within 20MHz for Redcap, within 5MHz for eRedcap).</w:t>
      </w:r>
      <w:r w:rsidR="0078216D">
        <w:rPr>
          <w:lang w:val="en-GB" w:eastAsia="ja-JP"/>
        </w:rPr>
        <w:t xml:space="preserve"> </w:t>
      </w:r>
    </w:p>
    <w:p w14:paraId="64667599" w14:textId="7B847059" w:rsidR="00BB33B4" w:rsidRDefault="00BB33B4" w:rsidP="00BB33B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Our assumption here is that </w:t>
      </w:r>
      <w:r>
        <w:rPr>
          <w:lang w:val="en-GB" w:eastAsia="ja-JP"/>
        </w:rPr>
        <w:t xml:space="preserve">(e)Redcap </w:t>
      </w:r>
      <w:r>
        <w:rPr>
          <w:lang w:val="en-GB" w:eastAsia="ja-JP"/>
        </w:rPr>
        <w:t xml:space="preserve">Msg1 EI is used because the NW will adapt </w:t>
      </w:r>
      <w:r w:rsidR="00C17DBF">
        <w:rPr>
          <w:lang w:val="en-GB" w:eastAsia="ja-JP"/>
        </w:rPr>
        <w:t xml:space="preserve">Msg2/Msg3 </w:t>
      </w:r>
      <w:r>
        <w:rPr>
          <w:lang w:val="en-GB" w:eastAsia="ja-JP"/>
        </w:rPr>
        <w:t xml:space="preserve">scheduling to those UEs. We don’t see </w:t>
      </w:r>
      <w:r w:rsidR="00C17DBF">
        <w:rPr>
          <w:lang w:val="en-GB" w:eastAsia="ja-JP"/>
        </w:rPr>
        <w:t xml:space="preserve">other rationale to configure RA partition(s) for </w:t>
      </w:r>
      <w:r>
        <w:rPr>
          <w:lang w:val="en-GB" w:eastAsia="ja-JP"/>
        </w:rPr>
        <w:t xml:space="preserve">(e)Redcap </w:t>
      </w:r>
      <w:r w:rsidR="00C17DBF">
        <w:rPr>
          <w:lang w:val="en-GB" w:eastAsia="ja-JP"/>
        </w:rPr>
        <w:t>UEs.</w:t>
      </w:r>
      <w:r>
        <w:rPr>
          <w:lang w:val="en-GB" w:eastAsia="ja-JP"/>
        </w:rPr>
        <w:t xml:space="preserve"> </w:t>
      </w:r>
      <w:r w:rsidR="00C14353">
        <w:rPr>
          <w:lang w:val="en-GB" w:eastAsia="ja-JP"/>
        </w:rPr>
        <w:t>A</w:t>
      </w:r>
      <w:r>
        <w:rPr>
          <w:lang w:val="en-GB" w:eastAsia="ja-JP"/>
        </w:rPr>
        <w:t xml:space="preserve">ny RA partitioning is costly in terms of resources </w:t>
      </w:r>
      <w:r w:rsidR="00C14353">
        <w:rPr>
          <w:lang w:val="en-GB" w:eastAsia="ja-JP"/>
        </w:rPr>
        <w:t>and impact CBRA performance, so if Msg2/Msg3 scheduling doesn’t need adaptation, indication in Msg3 is preferred (it is anyway mandatory).</w:t>
      </w:r>
    </w:p>
    <w:p w14:paraId="7C799B61" w14:textId="55EDDA38" w:rsidR="00270EA9" w:rsidRPr="00606EC5" w:rsidRDefault="00270EA9" w:rsidP="00606EC5">
      <w:pPr>
        <w:pStyle w:val="Heading7"/>
      </w:pPr>
      <w:bookmarkStart w:id="3" w:name="_Ref146843220"/>
      <w:r w:rsidRPr="00606EC5">
        <w:t>Observation</w:t>
      </w:r>
      <w:r w:rsidRPr="00606EC5">
        <w:t xml:space="preserve"> 1: (e)Redcap Msg1 EI </w:t>
      </w:r>
      <w:r w:rsidRPr="00606EC5">
        <w:t>is required if the NW needs to adapt Msg2/Msg3 scheduling</w:t>
      </w:r>
      <w:bookmarkEnd w:id="3"/>
    </w:p>
    <w:p w14:paraId="623C06FB" w14:textId="3D2ECBB9" w:rsidR="00306E3D" w:rsidRDefault="00C17DBF" w:rsidP="00BB33B4">
      <w:pPr>
        <w:jc w:val="both"/>
        <w:rPr>
          <w:lang w:eastAsia="ja-JP"/>
        </w:rPr>
      </w:pPr>
      <w:r>
        <w:rPr>
          <w:lang w:eastAsia="ja-JP"/>
        </w:rPr>
        <w:t xml:space="preserve">Upon receiving </w:t>
      </w:r>
      <w:r w:rsidR="00270EA9">
        <w:rPr>
          <w:lang w:eastAsia="ja-JP"/>
        </w:rPr>
        <w:t>Msg1 Redcap indication</w:t>
      </w:r>
      <w:r>
        <w:rPr>
          <w:lang w:eastAsia="ja-JP"/>
        </w:rPr>
        <w:t xml:space="preserve">, NW would e.g. schedule Msg2/3 within 20MHz constraint. Upon receiving Msg1 eRedcap indication, it would </w:t>
      </w:r>
      <w:r w:rsidR="00687369">
        <w:rPr>
          <w:lang w:eastAsia="ja-JP"/>
        </w:rPr>
        <w:t xml:space="preserve">e.g. </w:t>
      </w:r>
      <w:r>
        <w:rPr>
          <w:lang w:eastAsia="ja-JP"/>
        </w:rPr>
        <w:t xml:space="preserve">schedule taking Msg2 taking into account the </w:t>
      </w:r>
      <w:r w:rsidR="00687369">
        <w:rPr>
          <w:lang w:eastAsia="ja-JP"/>
        </w:rPr>
        <w:t>#PRBs/slot constraint, and Msg3 within the 5MHz constraint. In such cases, if the (e)Redcap UE does not identify itself as such, there will be interworking issues</w:t>
      </w:r>
      <w:r w:rsidR="004A3194">
        <w:rPr>
          <w:lang w:eastAsia="ja-JP"/>
        </w:rPr>
        <w:t xml:space="preserve"> (RA failure as soon as Msg2/Msg3 scheduling does not comply with the constraints).</w:t>
      </w:r>
    </w:p>
    <w:p w14:paraId="6AACDDB7" w14:textId="2759A742" w:rsidR="004A3194" w:rsidRPr="00606EC5" w:rsidRDefault="004A3194" w:rsidP="00606EC5">
      <w:pPr>
        <w:pStyle w:val="Heading7"/>
      </w:pPr>
      <w:bookmarkStart w:id="4" w:name="_Ref146843221"/>
      <w:r w:rsidRPr="00606EC5">
        <w:t xml:space="preserve">Observation </w:t>
      </w:r>
      <w:r w:rsidRPr="00606EC5">
        <w:t>2</w:t>
      </w:r>
      <w:r w:rsidRPr="00606EC5">
        <w:t xml:space="preserve">: </w:t>
      </w:r>
      <w:r w:rsidRPr="00606EC5">
        <w:t xml:space="preserve">If </w:t>
      </w:r>
      <w:r w:rsidRPr="00606EC5">
        <w:t xml:space="preserve">(e)Redcap Msg1 EI is </w:t>
      </w:r>
      <w:r w:rsidR="00306E3D" w:rsidRPr="00606EC5">
        <w:t>configured but not</w:t>
      </w:r>
      <w:r w:rsidRPr="00606EC5">
        <w:t xml:space="preserve"> indicated</w:t>
      </w:r>
      <w:r w:rsidR="00306E3D" w:rsidRPr="00606EC5">
        <w:t xml:space="preserve"> by the </w:t>
      </w:r>
      <w:r w:rsidR="00306E3D" w:rsidRPr="00606EC5">
        <w:t xml:space="preserve">(e)Redcap </w:t>
      </w:r>
      <w:r w:rsidR="00306E3D" w:rsidRPr="00606EC5">
        <w:t>UE</w:t>
      </w:r>
      <w:r w:rsidRPr="00606EC5">
        <w:t>, there will be interworking issues</w:t>
      </w:r>
      <w:bookmarkEnd w:id="4"/>
    </w:p>
    <w:p w14:paraId="0A4E5B9F" w14:textId="00E3CC26" w:rsidR="00306E3D" w:rsidRDefault="00306E3D" w:rsidP="000E5941">
      <w:pPr>
        <w:jc w:val="both"/>
        <w:rPr>
          <w:lang w:val="en-GB" w:eastAsia="ja-JP"/>
        </w:rPr>
      </w:pPr>
      <w:r>
        <w:rPr>
          <w:lang w:val="en-GB" w:eastAsia="ja-JP"/>
        </w:rPr>
        <w:t>In our understanding, this is also part of RAN1 agreements in the eRedcap case at least: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06E3D" w14:paraId="5B9D6297" w14:textId="77777777" w:rsidTr="00306E3D">
        <w:tc>
          <w:tcPr>
            <w:tcW w:w="9621" w:type="dxa"/>
          </w:tcPr>
          <w:p w14:paraId="527F868B" w14:textId="77777777" w:rsidR="00306E3D" w:rsidRDefault="00306E3D" w:rsidP="00306E3D">
            <w:pPr>
              <w:pStyle w:val="ListParagraph"/>
              <w:numPr>
                <w:ilvl w:val="0"/>
                <w:numId w:val="37"/>
              </w:numPr>
            </w:pPr>
            <w:r>
              <w:t xml:space="preserve">A network-configurable additional separate early indication in Msg1 for Rel-18 </w:t>
            </w:r>
            <w:proofErr w:type="spellStart"/>
            <w:r>
              <w:t>eRedCap</w:t>
            </w:r>
            <w:proofErr w:type="spellEnd"/>
            <w:r>
              <w:t xml:space="preserve"> UEs is supported.</w:t>
            </w:r>
          </w:p>
          <w:p w14:paraId="178B71E7" w14:textId="1E8C36D7" w:rsidR="00306E3D" w:rsidRPr="00306E3D" w:rsidRDefault="00306E3D" w:rsidP="000E5941">
            <w:pPr>
              <w:pStyle w:val="ListParagraph"/>
              <w:numPr>
                <w:ilvl w:val="1"/>
                <w:numId w:val="37"/>
              </w:numPr>
            </w:pPr>
            <w:r>
              <w:t xml:space="preserve">When Msg1 indication for Rel-18 </w:t>
            </w:r>
            <w:proofErr w:type="spellStart"/>
            <w:r>
              <w:t>eRedCap</w:t>
            </w:r>
            <w:proofErr w:type="spellEnd"/>
            <w:r>
              <w:t xml:space="preserve"> UEs is configured, it is used by Rel-18 </w:t>
            </w:r>
            <w:proofErr w:type="spellStart"/>
            <w:r>
              <w:t>eRedCap</w:t>
            </w:r>
            <w:proofErr w:type="spellEnd"/>
            <w:r>
              <w:t xml:space="preserve"> UEs (with or without UE BB bandwidth reduction).</w:t>
            </w:r>
          </w:p>
        </w:tc>
      </w:tr>
    </w:tbl>
    <w:p w14:paraId="2232864D" w14:textId="77777777" w:rsidR="00306E3D" w:rsidRDefault="00306E3D" w:rsidP="000E5941">
      <w:pPr>
        <w:jc w:val="both"/>
        <w:rPr>
          <w:lang w:eastAsia="ja-JP"/>
        </w:rPr>
      </w:pPr>
    </w:p>
    <w:p w14:paraId="684C0F83" w14:textId="4288E04A" w:rsidR="00306E3D" w:rsidRPr="00306E3D" w:rsidRDefault="00306E3D" w:rsidP="000E5941">
      <w:pPr>
        <w:jc w:val="both"/>
        <w:rPr>
          <w:lang w:eastAsia="ja-JP"/>
        </w:rPr>
      </w:pPr>
      <w:r>
        <w:rPr>
          <w:lang w:eastAsia="ja-JP"/>
        </w:rPr>
        <w:t xml:space="preserve">i.e. the scenario </w:t>
      </w:r>
      <w:r w:rsidR="00B55A8F">
        <w:rPr>
          <w:lang w:eastAsia="ja-JP"/>
        </w:rPr>
        <w:t>“</w:t>
      </w:r>
      <w:r>
        <w:rPr>
          <w:lang w:eastAsia="ja-JP"/>
        </w:rPr>
        <w:t xml:space="preserve">the </w:t>
      </w:r>
      <w:r>
        <w:t xml:space="preserve">Msg1 indication for Rel-18 </w:t>
      </w:r>
      <w:proofErr w:type="spellStart"/>
      <w:r>
        <w:t>eRedCap</w:t>
      </w:r>
      <w:proofErr w:type="spellEnd"/>
      <w:r>
        <w:t xml:space="preserve"> UEs is configured</w:t>
      </w:r>
      <w:r w:rsidR="00B55A8F">
        <w:t xml:space="preserve"> /</w:t>
      </w:r>
      <w:r>
        <w:t xml:space="preserve"> eRedcap UE does not use it</w:t>
      </w:r>
      <w:r w:rsidR="00B55A8F">
        <w:t>”</w:t>
      </w:r>
      <w:r>
        <w:t xml:space="preserve"> is not a valid one. </w:t>
      </w:r>
    </w:p>
    <w:p w14:paraId="1CE22F82" w14:textId="474A593D" w:rsidR="00E768CA" w:rsidRDefault="00E768CA" w:rsidP="000E5941">
      <w:pPr>
        <w:jc w:val="both"/>
        <w:rPr>
          <w:lang w:val="en-GB" w:eastAsia="ja-JP"/>
        </w:rPr>
      </w:pPr>
      <w:r>
        <w:rPr>
          <w:lang w:val="en-GB" w:eastAsia="ja-JP"/>
        </w:rPr>
        <w:t>Conversely, a legacy UE would in theory works even indicating (e)Redcap in Msg1, just in a less optimized way (and similarly a Redcap UE would in theory works even indicating eRedcap in Msg1).</w:t>
      </w:r>
    </w:p>
    <w:p w14:paraId="658FF89A" w14:textId="1DB443D6" w:rsidR="002120C0" w:rsidRDefault="002120C0" w:rsidP="000E594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For features such as (e)Redcap, the framework should rather </w:t>
      </w:r>
      <w:r w:rsidR="005A43A9">
        <w:rPr>
          <w:lang w:val="en-GB" w:eastAsia="ja-JP"/>
        </w:rPr>
        <w:t xml:space="preserve">have been </w:t>
      </w:r>
      <w:r>
        <w:rPr>
          <w:lang w:val="en-GB" w:eastAsia="ja-JP"/>
        </w:rPr>
        <w:t>based on</w:t>
      </w:r>
      <w:r w:rsidR="008D3639">
        <w:rPr>
          <w:lang w:val="en-GB" w:eastAsia="ja-JP"/>
        </w:rPr>
        <w:t xml:space="preserve"> following principles:</w:t>
      </w:r>
    </w:p>
    <w:p w14:paraId="1F0C018A" w14:textId="0DCD5215" w:rsidR="002120C0" w:rsidRDefault="002120C0" w:rsidP="002120C0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A UE </w:t>
      </w:r>
      <w:r>
        <w:rPr>
          <w:lang w:val="en-GB"/>
        </w:rPr>
        <w:t>shall</w:t>
      </w:r>
      <w:r>
        <w:rPr>
          <w:lang w:val="en-GB"/>
        </w:rPr>
        <w:t xml:space="preserve"> indicate applicable/triggering </w:t>
      </w:r>
      <w:r w:rsidR="008D3639">
        <w:rPr>
          <w:lang w:val="en-GB"/>
        </w:rPr>
        <w:t>(e)Redcap</w:t>
      </w:r>
      <w:r w:rsidR="008D3639">
        <w:rPr>
          <w:lang w:val="en-GB"/>
        </w:rPr>
        <w:t xml:space="preserve"> </w:t>
      </w:r>
      <w:r>
        <w:rPr>
          <w:lang w:val="en-GB"/>
        </w:rPr>
        <w:t>feature(s)</w:t>
      </w:r>
    </w:p>
    <w:p w14:paraId="18D2B624" w14:textId="4F1D7913" w:rsidR="008D3639" w:rsidRDefault="008D3639" w:rsidP="008D3639">
      <w:pPr>
        <w:pStyle w:val="ListParagraph"/>
        <w:numPr>
          <w:ilvl w:val="1"/>
          <w:numId w:val="39"/>
        </w:numPr>
        <w:rPr>
          <w:lang w:val="en-GB"/>
        </w:rPr>
      </w:pPr>
      <w:r>
        <w:rPr>
          <w:lang w:val="en-GB"/>
        </w:rPr>
        <w:t>Indication of Redcap mandatory for Redcap UEs</w:t>
      </w:r>
    </w:p>
    <w:p w14:paraId="38BABEBF" w14:textId="6D1BA0C7" w:rsidR="008D3639" w:rsidRPr="002120C0" w:rsidRDefault="008D3639" w:rsidP="008D3639">
      <w:pPr>
        <w:pStyle w:val="ListParagraph"/>
        <w:numPr>
          <w:ilvl w:val="1"/>
          <w:numId w:val="39"/>
        </w:numPr>
        <w:rPr>
          <w:lang w:val="en-GB"/>
        </w:rPr>
      </w:pPr>
      <w:r>
        <w:rPr>
          <w:lang w:val="en-GB"/>
        </w:rPr>
        <w:t xml:space="preserve">Indication of eRedcap mandatory for </w:t>
      </w:r>
      <w:r w:rsidR="0024523B">
        <w:rPr>
          <w:lang w:val="en-GB"/>
        </w:rPr>
        <w:t>eRedcap UEs</w:t>
      </w:r>
    </w:p>
    <w:p w14:paraId="6A9B0EA3" w14:textId="77777777" w:rsidR="005A43A9" w:rsidRDefault="005A43A9" w:rsidP="005A43A9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A UE may not indicate non applicable/triggering (e)Redcap feature(s)</w:t>
      </w:r>
    </w:p>
    <w:p w14:paraId="598D7A33" w14:textId="77777777" w:rsidR="005A43A9" w:rsidRDefault="005A43A9" w:rsidP="005A43A9">
      <w:pPr>
        <w:pStyle w:val="ListParagraph"/>
        <w:numPr>
          <w:ilvl w:val="1"/>
          <w:numId w:val="39"/>
        </w:numPr>
        <w:rPr>
          <w:lang w:val="en-GB"/>
        </w:rPr>
      </w:pPr>
      <w:r>
        <w:rPr>
          <w:lang w:val="en-GB"/>
        </w:rPr>
        <w:t>Indication of Redcap/eRedcap not prevented for legacy UEs</w:t>
      </w:r>
    </w:p>
    <w:p w14:paraId="2395E174" w14:textId="77777777" w:rsidR="005A43A9" w:rsidRDefault="005A43A9" w:rsidP="005A43A9">
      <w:pPr>
        <w:pStyle w:val="ListParagraph"/>
        <w:numPr>
          <w:ilvl w:val="1"/>
          <w:numId w:val="39"/>
        </w:numPr>
        <w:rPr>
          <w:lang w:val="en-GB"/>
        </w:rPr>
      </w:pPr>
      <w:r>
        <w:rPr>
          <w:lang w:val="en-GB"/>
        </w:rPr>
        <w:t>Indication of eRedcap not precented for Redcap UEs</w:t>
      </w:r>
    </w:p>
    <w:p w14:paraId="0C03DC44" w14:textId="77777777" w:rsidR="002120C0" w:rsidRDefault="002120C0" w:rsidP="000E5941">
      <w:pPr>
        <w:jc w:val="both"/>
        <w:rPr>
          <w:lang w:val="en-GB" w:eastAsia="ja-JP"/>
        </w:rPr>
      </w:pPr>
    </w:p>
    <w:p w14:paraId="3D110510" w14:textId="4481CB81" w:rsidR="005A43A9" w:rsidRDefault="00306E3D" w:rsidP="005A43A9">
      <w:pPr>
        <w:pStyle w:val="Heading2"/>
        <w:rPr>
          <w:lang w:eastAsia="ja-JP"/>
        </w:rPr>
      </w:pPr>
      <w:r>
        <w:rPr>
          <w:lang w:eastAsia="ja-JP"/>
        </w:rPr>
        <w:t>Way forward</w:t>
      </w:r>
    </w:p>
    <w:p w14:paraId="362013F4" w14:textId="6B0B7CBC" w:rsidR="00B55A8F" w:rsidRDefault="005D53A7" w:rsidP="000E594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2D22B8">
        <w:rPr>
          <w:lang w:eastAsia="ja-JP"/>
        </w:rPr>
        <w:fldChar w:fldCharType="begin"/>
      </w:r>
      <w:r w:rsidR="002D22B8">
        <w:rPr>
          <w:lang w:eastAsia="ja-JP"/>
        </w:rPr>
        <w:instrText xml:space="preserve"> REF _Ref146822507 \r \h </w:instrText>
      </w:r>
      <w:r w:rsidR="002D22B8">
        <w:rPr>
          <w:lang w:eastAsia="ja-JP"/>
        </w:rPr>
      </w:r>
      <w:r w:rsidR="002D22B8">
        <w:rPr>
          <w:lang w:eastAsia="ja-JP"/>
        </w:rPr>
        <w:fldChar w:fldCharType="separate"/>
      </w:r>
      <w:r w:rsidR="002D22B8">
        <w:rPr>
          <w:lang w:eastAsia="ja-JP"/>
        </w:rPr>
        <w:t>[1]</w:t>
      </w:r>
      <w:r w:rsidR="002D22B8">
        <w:rPr>
          <w:lang w:eastAsia="ja-JP"/>
        </w:rPr>
        <w:fldChar w:fldCharType="end"/>
      </w:r>
      <w:r>
        <w:rPr>
          <w:lang w:eastAsia="ja-JP"/>
        </w:rPr>
        <w:t xml:space="preserve">, several options </w:t>
      </w:r>
      <w:r w:rsidR="00F56B3F">
        <w:rPr>
          <w:lang w:eastAsia="ja-JP"/>
        </w:rPr>
        <w:t>were</w:t>
      </w:r>
      <w:r>
        <w:rPr>
          <w:lang w:eastAsia="ja-JP"/>
        </w:rPr>
        <w:t xml:space="preserve"> discussed</w:t>
      </w:r>
      <w:r w:rsidR="00306E3D">
        <w:rPr>
          <w:lang w:eastAsia="ja-JP"/>
        </w:rPr>
        <w:t xml:space="preserve">. </w:t>
      </w:r>
      <w:r w:rsidR="00B55A8F">
        <w:rPr>
          <w:lang w:eastAsia="ja-JP"/>
        </w:rPr>
        <w:t xml:space="preserve">One example to </w:t>
      </w:r>
      <w:r w:rsidR="004C1723">
        <w:rPr>
          <w:lang w:eastAsia="ja-JP"/>
        </w:rPr>
        <w:t>assess</w:t>
      </w:r>
      <w:r w:rsidR="00B55A8F">
        <w:rPr>
          <w:lang w:eastAsia="ja-JP"/>
        </w:rPr>
        <w:t xml:space="preserve"> the NW configuration flexibility considers the 3 features Redcap, eRedcap and SDT, with the </w:t>
      </w:r>
      <w:r w:rsidR="00250BD8">
        <w:rPr>
          <w:lang w:eastAsia="ja-JP"/>
        </w:rPr>
        <w:t xml:space="preserve">following </w:t>
      </w:r>
      <w:r w:rsidR="00B55A8F">
        <w:rPr>
          <w:lang w:eastAsia="ja-JP"/>
        </w:rPr>
        <w:t xml:space="preserve">3 partitions </w:t>
      </w:r>
      <w:r w:rsidR="004C1723">
        <w:rPr>
          <w:lang w:eastAsia="ja-JP"/>
        </w:rPr>
        <w:t>configured:</w:t>
      </w:r>
    </w:p>
    <w:p w14:paraId="162DD5EE" w14:textId="14B8B634" w:rsidR="004C1723" w:rsidRDefault="004C1723" w:rsidP="004C1723">
      <w:pPr>
        <w:pStyle w:val="ListParagraph"/>
        <w:numPr>
          <w:ilvl w:val="0"/>
          <w:numId w:val="40"/>
        </w:numPr>
      </w:pPr>
      <w:r>
        <w:t>eRedcap</w:t>
      </w:r>
    </w:p>
    <w:p w14:paraId="0D32970D" w14:textId="32638FF8" w:rsidR="004C1723" w:rsidRDefault="004C1723" w:rsidP="004C1723">
      <w:pPr>
        <w:pStyle w:val="ListParagraph"/>
        <w:numPr>
          <w:ilvl w:val="0"/>
          <w:numId w:val="40"/>
        </w:numPr>
      </w:pPr>
      <w:proofErr w:type="spellStart"/>
      <w:r>
        <w:t>Redcap+SDT</w:t>
      </w:r>
      <w:proofErr w:type="spellEnd"/>
    </w:p>
    <w:p w14:paraId="3096DC8F" w14:textId="2925EEEF" w:rsidR="004C1723" w:rsidRDefault="004C1723" w:rsidP="004C1723">
      <w:pPr>
        <w:pStyle w:val="ListParagraph"/>
        <w:numPr>
          <w:ilvl w:val="0"/>
          <w:numId w:val="40"/>
        </w:numPr>
      </w:pPr>
      <w:r>
        <w:t>SDT</w:t>
      </w:r>
    </w:p>
    <w:p w14:paraId="7A320A1B" w14:textId="56D2724B" w:rsidR="00D91BF8" w:rsidRDefault="00D91BF8" w:rsidP="00250BD8">
      <w:pPr>
        <w:jc w:val="both"/>
      </w:pPr>
      <w:r>
        <w:lastRenderedPageBreak/>
        <w:t>We think it is a reasonable example to evaluate the different options and discuss the expected UE behavior.</w:t>
      </w:r>
    </w:p>
    <w:p w14:paraId="6277897A" w14:textId="27C7FD78" w:rsidR="00D91BF8" w:rsidRPr="00D91BF8" w:rsidRDefault="00D91BF8" w:rsidP="00250BD8">
      <w:pPr>
        <w:jc w:val="both"/>
        <w:rPr>
          <w:u w:val="single"/>
        </w:rPr>
      </w:pPr>
      <w:r w:rsidRPr="00D91BF8">
        <w:rPr>
          <w:u w:val="single"/>
        </w:rPr>
        <w:t xml:space="preserve">Usage of </w:t>
      </w:r>
      <w:proofErr w:type="spellStart"/>
      <w:r w:rsidRPr="00D91BF8">
        <w:rPr>
          <w:u w:val="single"/>
        </w:rPr>
        <w:t>Redcap+SDT</w:t>
      </w:r>
      <w:proofErr w:type="spellEnd"/>
      <w:r w:rsidRPr="00D91BF8">
        <w:rPr>
          <w:u w:val="single"/>
        </w:rPr>
        <w:t xml:space="preserve"> by eRedcap UEs</w:t>
      </w:r>
    </w:p>
    <w:p w14:paraId="1B792133" w14:textId="3828397C" w:rsidR="00C05B5D" w:rsidRDefault="004C1723" w:rsidP="00250BD8">
      <w:pPr>
        <w:jc w:val="both"/>
      </w:pPr>
      <w:r>
        <w:t xml:space="preserve">Some companies </w:t>
      </w:r>
      <w:r w:rsidR="007616C8">
        <w:t xml:space="preserve">consider </w:t>
      </w:r>
      <w:r>
        <w:t xml:space="preserve">that an eRedcap </w:t>
      </w:r>
      <w:r w:rsidR="00250BD8">
        <w:t xml:space="preserve">UE </w:t>
      </w:r>
      <w:r>
        <w:t xml:space="preserve">requesting </w:t>
      </w:r>
      <w:r w:rsidR="00C05B5D">
        <w:t>SDT should be able to select the “Redcap + SDT” partition.</w:t>
      </w:r>
    </w:p>
    <w:p w14:paraId="2F4C1547" w14:textId="0984A401" w:rsidR="004C1723" w:rsidRDefault="00C05B5D" w:rsidP="00250BD8">
      <w:pPr>
        <w:jc w:val="both"/>
      </w:pPr>
      <w:r>
        <w:t>However, as explained above, we have a different understanding. If the NW configures an eRe</w:t>
      </w:r>
      <w:r w:rsidR="00250BD8">
        <w:t>dcap partition, this should be because it will need to adapt Msg2/Msg3 scheduling, hence the eRedcap UE shall use such eRedcap partition.</w:t>
      </w:r>
      <w:r w:rsidR="008E181A">
        <w:t xml:space="preserve"> If it does not, there would be interworking issues.</w:t>
      </w:r>
    </w:p>
    <w:p w14:paraId="51B2D974" w14:textId="090DCEC8" w:rsidR="00250BD8" w:rsidRPr="00606EC5" w:rsidRDefault="00D91BF8" w:rsidP="00606EC5">
      <w:pPr>
        <w:pStyle w:val="Heading7"/>
      </w:pPr>
      <w:bookmarkStart w:id="5" w:name="_Ref146843223"/>
      <w:r>
        <w:t>Observation</w:t>
      </w:r>
      <w:r w:rsidR="00250BD8" w:rsidRPr="00606EC5">
        <w:t xml:space="preserve"> </w:t>
      </w:r>
      <w:r>
        <w:t>3</w:t>
      </w:r>
      <w:r w:rsidR="00250BD8" w:rsidRPr="00606EC5">
        <w:t xml:space="preserve">: </w:t>
      </w:r>
      <w:r w:rsidR="00983ABC">
        <w:t>Usage of “</w:t>
      </w:r>
      <w:proofErr w:type="spellStart"/>
      <w:r w:rsidR="00983ABC">
        <w:t>Redcap+SDT</w:t>
      </w:r>
      <w:proofErr w:type="spellEnd"/>
      <w:r w:rsidR="00983ABC">
        <w:t>” partition by eRedcap UEs may cause interworking issues</w:t>
      </w:r>
      <w:bookmarkEnd w:id="5"/>
    </w:p>
    <w:p w14:paraId="342264C2" w14:textId="53DA7041" w:rsidR="00D91BF8" w:rsidRPr="00D91BF8" w:rsidRDefault="00D91BF8" w:rsidP="00D91BF8">
      <w:pPr>
        <w:jc w:val="both"/>
        <w:rPr>
          <w:u w:val="single"/>
        </w:rPr>
      </w:pPr>
      <w:r w:rsidRPr="00D91BF8">
        <w:rPr>
          <w:u w:val="single"/>
        </w:rPr>
        <w:t xml:space="preserve">Usage of </w:t>
      </w:r>
      <w:proofErr w:type="spellStart"/>
      <w:r>
        <w:rPr>
          <w:u w:val="single"/>
        </w:rPr>
        <w:t>e</w:t>
      </w:r>
      <w:r w:rsidRPr="00D91BF8">
        <w:rPr>
          <w:u w:val="single"/>
        </w:rPr>
        <w:t>Redcap+SDT</w:t>
      </w:r>
      <w:proofErr w:type="spellEnd"/>
      <w:r w:rsidRPr="00D91BF8">
        <w:rPr>
          <w:u w:val="single"/>
        </w:rPr>
        <w:t xml:space="preserve"> by Redcap UEs</w:t>
      </w:r>
    </w:p>
    <w:p w14:paraId="4B244B6E" w14:textId="50EEE32D" w:rsidR="00606EC5" w:rsidRDefault="00F56B3F" w:rsidP="00650788">
      <w:pPr>
        <w:jc w:val="both"/>
      </w:pPr>
      <w:r>
        <w:t xml:space="preserve">In the example above, </w:t>
      </w:r>
      <w:r w:rsidR="00856A3F">
        <w:t xml:space="preserve">if the NW wants to accommodate </w:t>
      </w:r>
      <w:r w:rsidR="00650788">
        <w:t xml:space="preserve">an </w:t>
      </w:r>
      <w:r w:rsidR="00650788">
        <w:t>eRedcap UE requesting SDT</w:t>
      </w:r>
      <w:r w:rsidR="00856A3F">
        <w:t xml:space="preserve">, it would need to configure </w:t>
      </w:r>
      <w:proofErr w:type="spellStart"/>
      <w:r w:rsidR="00856A3F">
        <w:t>an</w:t>
      </w:r>
      <w:proofErr w:type="spellEnd"/>
      <w:r w:rsidR="00856A3F">
        <w:t xml:space="preserve"> </w:t>
      </w:r>
      <w:proofErr w:type="spellStart"/>
      <w:r w:rsidR="00856A3F">
        <w:t>eRedca</w:t>
      </w:r>
      <w:r w:rsidR="00650788">
        <w:t>p+SDT</w:t>
      </w:r>
      <w:proofErr w:type="spellEnd"/>
      <w:r w:rsidR="00650788">
        <w:t xml:space="preserve"> partition. If it is desired to reduce the number of partitions, we believe it would make more sense to </w:t>
      </w:r>
      <w:r w:rsidR="00820BC3">
        <w:t xml:space="preserve">configure partitions as follows: </w:t>
      </w:r>
    </w:p>
    <w:p w14:paraId="440F2A83" w14:textId="77777777" w:rsidR="00606EC5" w:rsidRDefault="00606EC5" w:rsidP="00606EC5">
      <w:pPr>
        <w:pStyle w:val="ListParagraph"/>
        <w:numPr>
          <w:ilvl w:val="0"/>
          <w:numId w:val="40"/>
        </w:numPr>
      </w:pPr>
      <w:r>
        <w:t>eRedcap</w:t>
      </w:r>
    </w:p>
    <w:p w14:paraId="14DECC45" w14:textId="15F4E138" w:rsidR="00606EC5" w:rsidRDefault="00606EC5" w:rsidP="00606EC5">
      <w:pPr>
        <w:pStyle w:val="ListParagraph"/>
        <w:numPr>
          <w:ilvl w:val="0"/>
          <w:numId w:val="40"/>
        </w:numPr>
      </w:pPr>
      <w:proofErr w:type="spellStart"/>
      <w:r>
        <w:t>e</w:t>
      </w:r>
      <w:r>
        <w:t>Redcap+SDT</w:t>
      </w:r>
      <w:proofErr w:type="spellEnd"/>
    </w:p>
    <w:p w14:paraId="7229AE43" w14:textId="75D20ACA" w:rsidR="00606EC5" w:rsidRDefault="00606EC5" w:rsidP="00650788">
      <w:pPr>
        <w:pStyle w:val="ListParagraph"/>
        <w:numPr>
          <w:ilvl w:val="0"/>
          <w:numId w:val="40"/>
        </w:numPr>
      </w:pPr>
      <w:r>
        <w:t>SDT</w:t>
      </w:r>
    </w:p>
    <w:p w14:paraId="3E1678B2" w14:textId="5A0AAE6C" w:rsidR="00820BC3" w:rsidRDefault="00820BC3" w:rsidP="00650788">
      <w:pPr>
        <w:jc w:val="both"/>
      </w:pPr>
      <w:r>
        <w:t xml:space="preserve">and allow a Redcap UE requesting SDT to use such </w:t>
      </w:r>
      <w:proofErr w:type="spellStart"/>
      <w:r>
        <w:t>eRedcap+SDT</w:t>
      </w:r>
      <w:proofErr w:type="spellEnd"/>
      <w:r>
        <w:t xml:space="preserve"> partition</w:t>
      </w:r>
      <w:r>
        <w:t>.</w:t>
      </w:r>
    </w:p>
    <w:p w14:paraId="3AC4EADC" w14:textId="5E2C91A6" w:rsidR="00F56B3F" w:rsidRDefault="00650788" w:rsidP="00650788">
      <w:pPr>
        <w:jc w:val="both"/>
      </w:pPr>
      <w:r>
        <w:t xml:space="preserve">The Redcap UE requesting SDT would then have Msg2/Msg3 scheduling </w:t>
      </w:r>
      <w:r w:rsidR="008E181A">
        <w:t xml:space="preserve">compliant with eRedcap – likely a minor performance degradation (versus interworking issues in the alternative proposal). </w:t>
      </w:r>
      <w:r w:rsidR="00063B5F">
        <w:t>Obviously,</w:t>
      </w:r>
      <w:r w:rsidR="00640AC5">
        <w:t xml:space="preserve"> </w:t>
      </w:r>
      <w:r w:rsidR="008E181A">
        <w:t xml:space="preserve">this would </w:t>
      </w:r>
      <w:r w:rsidR="00640AC5">
        <w:t>work only from Rel-18</w:t>
      </w:r>
      <w:r w:rsidR="00AC6910">
        <w:t>, i.e. Rel-17 Redcap UEs would then not be able to signal SDT</w:t>
      </w:r>
      <w:r w:rsidR="00640AC5">
        <w:t xml:space="preserve"> (unless </w:t>
      </w:r>
      <w:r w:rsidR="008E181A">
        <w:t xml:space="preserve">Rel-17 </w:t>
      </w:r>
      <w:r w:rsidR="00640AC5">
        <w:t>is modified).</w:t>
      </w:r>
    </w:p>
    <w:p w14:paraId="72A41C12" w14:textId="5A196B9A" w:rsidR="00D91BF8" w:rsidRDefault="00D91BF8" w:rsidP="00606EC5">
      <w:pPr>
        <w:pStyle w:val="Heading7"/>
      </w:pPr>
      <w:bookmarkStart w:id="6" w:name="_Ref146843225"/>
      <w:bookmarkStart w:id="7" w:name="_Ref146868865"/>
      <w:r>
        <w:t>Observation</w:t>
      </w:r>
      <w:r w:rsidR="00650788" w:rsidRPr="00606EC5">
        <w:t xml:space="preserve"> </w:t>
      </w:r>
      <w:r>
        <w:t>4</w:t>
      </w:r>
      <w:r w:rsidR="00650788" w:rsidRPr="00606EC5">
        <w:t xml:space="preserve">: </w:t>
      </w:r>
      <w:r w:rsidR="00983ABC">
        <w:t>Usage of “</w:t>
      </w:r>
      <w:proofErr w:type="spellStart"/>
      <w:r w:rsidR="00983ABC">
        <w:t>e</w:t>
      </w:r>
      <w:r w:rsidR="00983ABC">
        <w:t>Redcap+SDT</w:t>
      </w:r>
      <w:proofErr w:type="spellEnd"/>
      <w:r w:rsidR="00983ABC">
        <w:t xml:space="preserve">” partition by Redcap UEs </w:t>
      </w:r>
      <w:r w:rsidR="00983ABC">
        <w:t>would be preferable (no interworking issues), however this would impact Rel-17</w:t>
      </w:r>
      <w:bookmarkEnd w:id="7"/>
    </w:p>
    <w:p w14:paraId="3D9D8FB2" w14:textId="1D41AFAA" w:rsidR="00983ABC" w:rsidRPr="008A362F" w:rsidRDefault="00A97E27" w:rsidP="008A362F">
      <w:pPr>
        <w:jc w:val="both"/>
        <w:rPr>
          <w:u w:val="single"/>
        </w:rPr>
      </w:pPr>
      <w:r w:rsidRPr="008A362F">
        <w:rPr>
          <w:u w:val="single"/>
        </w:rPr>
        <w:t>Way forward</w:t>
      </w:r>
    </w:p>
    <w:p w14:paraId="7BFCBDC2" w14:textId="1D71B1DD" w:rsidR="00A97E27" w:rsidRPr="00983ABC" w:rsidRDefault="00A97E27" w:rsidP="008A362F">
      <w:pPr>
        <w:jc w:val="both"/>
      </w:pPr>
      <w:r>
        <w:t xml:space="preserve">The above behavior could still be achieved by a NW deployment, by configuring the </w:t>
      </w:r>
      <w:proofErr w:type="spellStart"/>
      <w:r>
        <w:t>Redcap+SDT</w:t>
      </w:r>
      <w:proofErr w:type="spellEnd"/>
      <w:r>
        <w:t xml:space="preserve"> partition</w:t>
      </w:r>
      <w:r w:rsidR="009D1E40">
        <w:t>, allowing</w:t>
      </w:r>
      <w:r>
        <w:t xml:space="preserve"> it </w:t>
      </w:r>
      <w:r w:rsidR="009D1E40">
        <w:t>to</w:t>
      </w:r>
      <w:r>
        <w:t xml:space="preserve"> be accessed also by eRedcap UEs</w:t>
      </w:r>
      <w:r w:rsidR="009D1E40">
        <w:t xml:space="preserve">, and </w:t>
      </w:r>
      <w:r w:rsidR="00A83AB5">
        <w:t>adapt</w:t>
      </w:r>
      <w:r w:rsidR="009D1E40">
        <w:t>ing</w:t>
      </w:r>
      <w:r w:rsidR="00A83AB5">
        <w:t xml:space="preserve"> Msg2/Msg3 scheduling </w:t>
      </w:r>
      <w:r w:rsidR="009D1E40">
        <w:t xml:space="preserve">assuming both Redcap/eRedcap UEs may access the </w:t>
      </w:r>
      <w:proofErr w:type="spellStart"/>
      <w:r w:rsidR="009D1E40">
        <w:t>Redcap+SDT</w:t>
      </w:r>
      <w:proofErr w:type="spellEnd"/>
      <w:r w:rsidR="009D1E40">
        <w:t xml:space="preserve"> partition. Said differently, NW would have </w:t>
      </w:r>
      <w:r w:rsidR="00A83AB5">
        <w:t>to accommodate eRedcap UEs requesting SDT as well, even though the partition itself indicates only “Redcap UEs”.</w:t>
      </w:r>
    </w:p>
    <w:p w14:paraId="3D3A943C" w14:textId="54D9433D" w:rsidR="00A83AB5" w:rsidRPr="008A362F" w:rsidRDefault="00A97E27" w:rsidP="008A362F">
      <w:pPr>
        <w:pStyle w:val="Heading7"/>
      </w:pPr>
      <w:bookmarkStart w:id="8" w:name="_Ref146868866"/>
      <w:r w:rsidRPr="008A362F">
        <w:t>Observation</w:t>
      </w:r>
      <w:r w:rsidR="00A83AB5" w:rsidRPr="008A362F">
        <w:t xml:space="preserve"> 5: Usage of “</w:t>
      </w:r>
      <w:proofErr w:type="spellStart"/>
      <w:r w:rsidR="00A83AB5" w:rsidRPr="008A362F">
        <w:t>Redcap+SDT</w:t>
      </w:r>
      <w:proofErr w:type="spellEnd"/>
      <w:r w:rsidR="00A83AB5" w:rsidRPr="008A362F">
        <w:t xml:space="preserve">” partition by eRedcap UEs is possible if NW </w:t>
      </w:r>
      <w:r w:rsidR="00A83AB5" w:rsidRPr="008A362F">
        <w:t>adapt</w:t>
      </w:r>
      <w:r w:rsidR="008A7DF1">
        <w:t>s</w:t>
      </w:r>
      <w:r w:rsidR="00A83AB5" w:rsidRPr="008A362F">
        <w:t xml:space="preserve"> Msg2/Msg3 scheduling to accommodate eRedcap UEs</w:t>
      </w:r>
      <w:bookmarkEnd w:id="8"/>
      <w:r w:rsidR="00A83AB5" w:rsidRPr="008A362F">
        <w:t xml:space="preserve"> </w:t>
      </w:r>
    </w:p>
    <w:bookmarkEnd w:id="6"/>
    <w:p w14:paraId="1916FCCA" w14:textId="79E81980" w:rsidR="00A83AB5" w:rsidRDefault="00A83AB5" w:rsidP="00A83AB5">
      <w:r>
        <w:t xml:space="preserve">Based on this, </w:t>
      </w:r>
      <w:r w:rsidR="008A362F">
        <w:t xml:space="preserve">in above example, </w:t>
      </w:r>
      <w:r>
        <w:t>we believe the best way forward would be as follows:</w:t>
      </w:r>
    </w:p>
    <w:p w14:paraId="1CAFE970" w14:textId="665FB894" w:rsidR="00A83AB5" w:rsidRDefault="00A83AB5" w:rsidP="00A83AB5">
      <w:pPr>
        <w:pStyle w:val="ListParagraph"/>
        <w:numPr>
          <w:ilvl w:val="0"/>
          <w:numId w:val="43"/>
        </w:numPr>
      </w:pPr>
      <w:r>
        <w:t>Consider an option that enables the following flexibility for NW:</w:t>
      </w:r>
    </w:p>
    <w:p w14:paraId="0138E4DB" w14:textId="1D472B4D" w:rsidR="00A83AB5" w:rsidRDefault="00A83AB5" w:rsidP="00A83AB5">
      <w:pPr>
        <w:pStyle w:val="ListParagraph"/>
        <w:numPr>
          <w:ilvl w:val="1"/>
          <w:numId w:val="43"/>
        </w:numPr>
      </w:pPr>
      <w:r>
        <w:t xml:space="preserve">eRedcap UEs requesting SDT use eRedcap partition (SDT </w:t>
      </w:r>
      <w:r w:rsidR="008A362F">
        <w:t>not indicated)</w:t>
      </w:r>
      <w:r w:rsidR="00F27BCB">
        <w:t xml:space="preserve"> (by setting high eRedcap priority)</w:t>
      </w:r>
    </w:p>
    <w:p w14:paraId="1C5D784B" w14:textId="62B61E07" w:rsidR="008A362F" w:rsidRDefault="008A362F" w:rsidP="00A83AB5">
      <w:pPr>
        <w:pStyle w:val="ListParagraph"/>
        <w:numPr>
          <w:ilvl w:val="1"/>
          <w:numId w:val="43"/>
        </w:numPr>
      </w:pPr>
      <w:r>
        <w:t xml:space="preserve">eRedcap UEs requesting SDT use </w:t>
      </w:r>
      <w:proofErr w:type="spellStart"/>
      <w:r>
        <w:t>Redcap+SDT</w:t>
      </w:r>
      <w:proofErr w:type="spellEnd"/>
      <w:r>
        <w:t xml:space="preserve"> partition </w:t>
      </w:r>
      <w:r w:rsidR="00F27BCB">
        <w:t>(by setting high SDT priority)</w:t>
      </w:r>
    </w:p>
    <w:p w14:paraId="429B6C35" w14:textId="4B04EF8F" w:rsidR="008A362F" w:rsidRDefault="008A362F" w:rsidP="008A362F">
      <w:pPr>
        <w:pStyle w:val="ListParagraph"/>
        <w:numPr>
          <w:ilvl w:val="0"/>
          <w:numId w:val="43"/>
        </w:numPr>
      </w:pPr>
      <w:r>
        <w:t xml:space="preserve">Specify that </w:t>
      </w:r>
      <w:r w:rsidR="00F27BCB">
        <w:t>in 2</w:t>
      </w:r>
      <w:r w:rsidR="00F27BCB" w:rsidRPr="00F27BCB">
        <w:rPr>
          <w:vertAlign w:val="superscript"/>
        </w:rPr>
        <w:t>nd</w:t>
      </w:r>
      <w:r w:rsidR="00F27BCB">
        <w:t xml:space="preserve"> case above, the NW </w:t>
      </w:r>
      <w:r w:rsidR="009C41B2">
        <w:t>should</w:t>
      </w:r>
      <w:r w:rsidR="00F27BCB">
        <w:t xml:space="preserve"> ensure to accommodate eRedcap UEs scheduling (i.e. behave as if this was an “</w:t>
      </w:r>
      <w:proofErr w:type="spellStart"/>
      <w:r w:rsidR="00F27BCB">
        <w:t>eRedcap+SDT</w:t>
      </w:r>
      <w:proofErr w:type="spellEnd"/>
      <w:r w:rsidR="00F27BCB">
        <w:t>” partition).</w:t>
      </w:r>
    </w:p>
    <w:p w14:paraId="51DB2474" w14:textId="10A96C06" w:rsidR="00A83AB5" w:rsidRDefault="008A362F" w:rsidP="007C11DA">
      <w:pPr>
        <w:pStyle w:val="Heading7"/>
      </w:pPr>
      <w:bookmarkStart w:id="9" w:name="_Ref146868868"/>
      <w:r>
        <w:t xml:space="preserve">Proposal 1: For best flexibility, specify an option that also allows eRedcap UEs to access non eRedcap partition (e.g. </w:t>
      </w:r>
      <w:proofErr w:type="spellStart"/>
      <w:r>
        <w:t>Redcap+SDT</w:t>
      </w:r>
      <w:proofErr w:type="spellEnd"/>
      <w:r>
        <w:t xml:space="preserve">), with the constraint that NW </w:t>
      </w:r>
      <w:r w:rsidR="009C41B2">
        <w:t>should</w:t>
      </w:r>
      <w:r>
        <w:t xml:space="preserve"> </w:t>
      </w:r>
      <w:r w:rsidR="00B311AC">
        <w:t xml:space="preserve">still </w:t>
      </w:r>
      <w:r>
        <w:t>accommodate eRedcap UEs scheduling</w:t>
      </w:r>
      <w:bookmarkEnd w:id="9"/>
      <w:r>
        <w:t xml:space="preserve"> </w:t>
      </w:r>
    </w:p>
    <w:p w14:paraId="4EA1E22B" w14:textId="55538343" w:rsidR="00A55C2C" w:rsidRDefault="00A55C2C" w:rsidP="00A55C2C">
      <w:pPr>
        <w:jc w:val="both"/>
      </w:pPr>
      <w:r>
        <w:t>In our understanding this is achievable in the current framework by specifying an option C as follows: an eRedcap UE triggers both eRedcap and Redcap features (</w:t>
      </w:r>
      <w:proofErr w:type="spellStart"/>
      <w:r>
        <w:t>i</w:t>
      </w:r>
      <w:proofErr w:type="spellEnd"/>
      <w:r>
        <w:t>..e. both are considered applicable).</w:t>
      </w:r>
    </w:p>
    <w:p w14:paraId="68879268" w14:textId="62A223E3" w:rsidR="00A55C2C" w:rsidRDefault="00A55C2C" w:rsidP="00A55C2C">
      <w:pPr>
        <w:jc w:val="both"/>
      </w:pPr>
      <w:r>
        <w:t xml:space="preserve">With this option C, an eRedcap UE can never signal all its applicable features (as it was agreed that a partition could not signal both Redcap and eRedcap). Hence the priority mechanism will be used to determine the subset of features to signal. </w:t>
      </w:r>
      <w:r w:rsidR="00EA4C8D">
        <w:t xml:space="preserve">The priority of eRedcap should be set higher than </w:t>
      </w:r>
      <w:r w:rsidR="00A41E64">
        <w:t xml:space="preserve">the </w:t>
      </w:r>
      <w:r w:rsidR="00EA4C8D">
        <w:t xml:space="preserve">Redcap </w:t>
      </w:r>
      <w:r w:rsidR="00A41E64">
        <w:t xml:space="preserve">one </w:t>
      </w:r>
      <w:r w:rsidR="00EA4C8D">
        <w:t>to always select</w:t>
      </w:r>
      <w:r w:rsidR="006219B9">
        <w:t xml:space="preserve"> an eRedcap partition, if configured.</w:t>
      </w:r>
    </w:p>
    <w:p w14:paraId="4A86E199" w14:textId="6184FC17" w:rsidR="00A55C2C" w:rsidRDefault="00A55C2C" w:rsidP="00A55C2C">
      <w:pPr>
        <w:jc w:val="both"/>
      </w:pPr>
      <w:r>
        <w:t>For an eRedcap UE requesting SDT, all 3 features Redcap/eRedcap/SDT will be applicable/triggered. All partitions (in example above) are available. Depending of the priorities, the selected partition would be as follows:</w:t>
      </w:r>
    </w:p>
    <w:p w14:paraId="421102E3" w14:textId="21A8A844" w:rsidR="0038267A" w:rsidRDefault="0038267A" w:rsidP="0038267A">
      <w:pPr>
        <w:spacing w:after="0"/>
      </w:pPr>
      <w:r>
        <w:br w:type="page"/>
      </w:r>
    </w:p>
    <w:tbl>
      <w:tblPr>
        <w:tblStyle w:val="TableGrid"/>
        <w:tblW w:w="96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2641"/>
        <w:gridCol w:w="2135"/>
        <w:gridCol w:w="2135"/>
        <w:gridCol w:w="2136"/>
      </w:tblGrid>
      <w:tr w:rsidR="00A55C2C" w14:paraId="30121547" w14:textId="77777777" w:rsidTr="00CA2487">
        <w:trPr>
          <w:trHeight w:val="324"/>
        </w:trPr>
        <w:tc>
          <w:tcPr>
            <w:tcW w:w="3277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14:paraId="4AF59717" w14:textId="33898FBC" w:rsidR="00A55C2C" w:rsidRDefault="00A55C2C" w:rsidP="00CA2487">
            <w:pPr>
              <w:spacing w:after="0"/>
              <w:jc w:val="center"/>
            </w:pPr>
          </w:p>
        </w:tc>
        <w:tc>
          <w:tcPr>
            <w:tcW w:w="6406" w:type="dxa"/>
            <w:gridSpan w:val="3"/>
            <w:shd w:val="clear" w:color="auto" w:fill="1F497D" w:themeFill="text2"/>
            <w:vAlign w:val="center"/>
          </w:tcPr>
          <w:p w14:paraId="4AB22A6B" w14:textId="47ADB729" w:rsidR="00A55C2C" w:rsidRDefault="00A55C2C" w:rsidP="00CA2487">
            <w:pPr>
              <w:spacing w:after="0"/>
              <w:jc w:val="center"/>
            </w:pPr>
            <w:r w:rsidRPr="00F72E8E">
              <w:rPr>
                <w:color w:val="FFFFFF" w:themeColor="background1"/>
              </w:rPr>
              <w:t xml:space="preserve">Option </w:t>
            </w:r>
            <w:r>
              <w:rPr>
                <w:color w:val="FFFFFF" w:themeColor="background1"/>
              </w:rPr>
              <w:t>C</w:t>
            </w:r>
          </w:p>
        </w:tc>
      </w:tr>
      <w:tr w:rsidR="00A55C2C" w14:paraId="1887C2C6" w14:textId="77777777" w:rsidTr="00CA2487">
        <w:trPr>
          <w:trHeight w:val="321"/>
        </w:trPr>
        <w:tc>
          <w:tcPr>
            <w:tcW w:w="3277" w:type="dxa"/>
            <w:gridSpan w:val="2"/>
            <w:vMerge/>
            <w:tcBorders>
              <w:left w:val="nil"/>
            </w:tcBorders>
            <w:vAlign w:val="bottom"/>
          </w:tcPr>
          <w:p w14:paraId="40C7066E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135" w:type="dxa"/>
            <w:shd w:val="clear" w:color="auto" w:fill="DBE5F1" w:themeFill="accent1" w:themeFillTint="33"/>
            <w:vAlign w:val="center"/>
          </w:tcPr>
          <w:p w14:paraId="2E4E884C" w14:textId="77777777" w:rsidR="00A55C2C" w:rsidRDefault="00A55C2C" w:rsidP="00CA2487">
            <w:pPr>
              <w:spacing w:after="0"/>
              <w:jc w:val="center"/>
            </w:pPr>
            <w:r>
              <w:t>Partition 1</w:t>
            </w:r>
          </w:p>
        </w:tc>
        <w:tc>
          <w:tcPr>
            <w:tcW w:w="2135" w:type="dxa"/>
            <w:shd w:val="clear" w:color="auto" w:fill="DBE5F1" w:themeFill="accent1" w:themeFillTint="33"/>
            <w:vAlign w:val="center"/>
          </w:tcPr>
          <w:p w14:paraId="15CF9963" w14:textId="77777777" w:rsidR="00A55C2C" w:rsidRDefault="00A55C2C" w:rsidP="00CA2487">
            <w:pPr>
              <w:spacing w:after="0"/>
              <w:jc w:val="center"/>
            </w:pPr>
            <w:r>
              <w:t>Partition 2</w:t>
            </w:r>
          </w:p>
        </w:tc>
        <w:tc>
          <w:tcPr>
            <w:tcW w:w="2136" w:type="dxa"/>
            <w:shd w:val="clear" w:color="auto" w:fill="DBE5F1" w:themeFill="accent1" w:themeFillTint="33"/>
            <w:vAlign w:val="center"/>
          </w:tcPr>
          <w:p w14:paraId="583C3345" w14:textId="77777777" w:rsidR="00A55C2C" w:rsidRDefault="00A55C2C" w:rsidP="00CA2487">
            <w:pPr>
              <w:spacing w:after="0"/>
              <w:jc w:val="center"/>
            </w:pPr>
            <w:r>
              <w:t>Partition 3</w:t>
            </w:r>
          </w:p>
        </w:tc>
      </w:tr>
      <w:tr w:rsidR="00A55C2C" w14:paraId="27AE5C18" w14:textId="77777777" w:rsidTr="00CA2487">
        <w:trPr>
          <w:trHeight w:val="321"/>
        </w:trPr>
        <w:tc>
          <w:tcPr>
            <w:tcW w:w="3277" w:type="dxa"/>
            <w:gridSpan w:val="2"/>
            <w:vMerge/>
            <w:tcBorders>
              <w:left w:val="nil"/>
            </w:tcBorders>
            <w:vAlign w:val="bottom"/>
          </w:tcPr>
          <w:p w14:paraId="2B47DE34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135" w:type="dxa"/>
            <w:shd w:val="clear" w:color="auto" w:fill="DBE5F1" w:themeFill="accent1" w:themeFillTint="33"/>
            <w:vAlign w:val="center"/>
          </w:tcPr>
          <w:p w14:paraId="7F24342C" w14:textId="77777777" w:rsidR="00A55C2C" w:rsidRDefault="00A55C2C" w:rsidP="00CA2487">
            <w:pPr>
              <w:spacing w:after="0"/>
              <w:jc w:val="center"/>
            </w:pPr>
            <w:proofErr w:type="spellStart"/>
            <w:r>
              <w:t>eRedCap</w:t>
            </w:r>
            <w:proofErr w:type="spellEnd"/>
          </w:p>
        </w:tc>
        <w:tc>
          <w:tcPr>
            <w:tcW w:w="2135" w:type="dxa"/>
            <w:shd w:val="clear" w:color="auto" w:fill="DBE5F1" w:themeFill="accent1" w:themeFillTint="33"/>
            <w:vAlign w:val="center"/>
          </w:tcPr>
          <w:p w14:paraId="2AF28089" w14:textId="77777777" w:rsidR="00A55C2C" w:rsidRDefault="00A55C2C" w:rsidP="00CA2487">
            <w:pPr>
              <w:spacing w:after="0"/>
              <w:jc w:val="center"/>
            </w:pPr>
            <w:proofErr w:type="spellStart"/>
            <w:r>
              <w:t>RedCap</w:t>
            </w:r>
            <w:proofErr w:type="spellEnd"/>
            <w:r>
              <w:t xml:space="preserve"> + SDT</w:t>
            </w:r>
          </w:p>
        </w:tc>
        <w:tc>
          <w:tcPr>
            <w:tcW w:w="2136" w:type="dxa"/>
            <w:shd w:val="clear" w:color="auto" w:fill="DBE5F1" w:themeFill="accent1" w:themeFillTint="33"/>
            <w:vAlign w:val="center"/>
          </w:tcPr>
          <w:p w14:paraId="3439C7AF" w14:textId="77777777" w:rsidR="00A55C2C" w:rsidRDefault="00A55C2C" w:rsidP="00CA2487">
            <w:pPr>
              <w:spacing w:after="0"/>
              <w:jc w:val="center"/>
            </w:pPr>
            <w:r>
              <w:t>SDT</w:t>
            </w:r>
          </w:p>
        </w:tc>
      </w:tr>
      <w:tr w:rsidR="00A55C2C" w14:paraId="561F1BCF" w14:textId="77777777" w:rsidTr="00CA2487">
        <w:trPr>
          <w:trHeight w:val="321"/>
        </w:trPr>
        <w:tc>
          <w:tcPr>
            <w:tcW w:w="636" w:type="dxa"/>
            <w:vMerge w:val="restart"/>
            <w:shd w:val="clear" w:color="auto" w:fill="1F497D" w:themeFill="text2"/>
            <w:textDirection w:val="btLr"/>
            <w:vAlign w:val="center"/>
          </w:tcPr>
          <w:p w14:paraId="670FBE30" w14:textId="77777777" w:rsidR="00A55C2C" w:rsidRDefault="00A55C2C" w:rsidP="00CA2487">
            <w:pPr>
              <w:spacing w:after="0"/>
              <w:ind w:left="113" w:right="113"/>
              <w:jc w:val="center"/>
            </w:pPr>
            <w:r w:rsidRPr="006F49D1">
              <w:rPr>
                <w:color w:val="FFFFFF" w:themeColor="background1"/>
              </w:rPr>
              <w:t>Feature priority</w:t>
            </w:r>
          </w:p>
        </w:tc>
        <w:tc>
          <w:tcPr>
            <w:tcW w:w="2641" w:type="dxa"/>
            <w:shd w:val="clear" w:color="auto" w:fill="DBE5F1" w:themeFill="accent1" w:themeFillTint="33"/>
            <w:vAlign w:val="center"/>
          </w:tcPr>
          <w:p w14:paraId="62001D7D" w14:textId="77777777" w:rsidR="00A55C2C" w:rsidRDefault="00A55C2C" w:rsidP="00CA2487">
            <w:pPr>
              <w:spacing w:after="0"/>
              <w:jc w:val="center"/>
            </w:pPr>
            <w:r>
              <w:t xml:space="preserve">SDT &gt; </w:t>
            </w:r>
            <w:proofErr w:type="spellStart"/>
            <w:r>
              <w:t>eRedCap</w:t>
            </w:r>
            <w:proofErr w:type="spellEnd"/>
            <w:r>
              <w:t xml:space="preserve"> &gt; </w:t>
            </w:r>
            <w:proofErr w:type="spellStart"/>
            <w:r>
              <w:t>RedCap</w:t>
            </w:r>
            <w:proofErr w:type="spellEnd"/>
          </w:p>
        </w:tc>
        <w:tc>
          <w:tcPr>
            <w:tcW w:w="2135" w:type="dxa"/>
            <w:vAlign w:val="center"/>
          </w:tcPr>
          <w:p w14:paraId="39782D63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135" w:type="dxa"/>
            <w:vAlign w:val="center"/>
          </w:tcPr>
          <w:p w14:paraId="5271F4CC" w14:textId="5F4304FE" w:rsidR="00A55C2C" w:rsidRDefault="00A55C2C" w:rsidP="00CA2487">
            <w:pPr>
              <w:spacing w:after="0"/>
              <w:jc w:val="center"/>
            </w:pPr>
            <w:r>
              <w:t>O</w:t>
            </w:r>
          </w:p>
        </w:tc>
        <w:tc>
          <w:tcPr>
            <w:tcW w:w="2136" w:type="dxa"/>
            <w:vAlign w:val="center"/>
          </w:tcPr>
          <w:p w14:paraId="78C91B09" w14:textId="519E3980" w:rsidR="00A55C2C" w:rsidRDefault="00A55C2C" w:rsidP="00CA2487">
            <w:pPr>
              <w:spacing w:after="0"/>
              <w:jc w:val="center"/>
            </w:pPr>
          </w:p>
        </w:tc>
      </w:tr>
      <w:tr w:rsidR="00A55C2C" w14:paraId="6727F434" w14:textId="77777777" w:rsidTr="00CA2487">
        <w:trPr>
          <w:trHeight w:val="321"/>
        </w:trPr>
        <w:tc>
          <w:tcPr>
            <w:tcW w:w="636" w:type="dxa"/>
            <w:vMerge/>
            <w:shd w:val="clear" w:color="auto" w:fill="1F497D" w:themeFill="text2"/>
            <w:vAlign w:val="center"/>
          </w:tcPr>
          <w:p w14:paraId="027AB1A4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641" w:type="dxa"/>
            <w:shd w:val="clear" w:color="auto" w:fill="DBE5F1" w:themeFill="accent1" w:themeFillTint="33"/>
            <w:vAlign w:val="center"/>
          </w:tcPr>
          <w:p w14:paraId="37FD8119" w14:textId="77777777" w:rsidR="00A55C2C" w:rsidRDefault="00A55C2C" w:rsidP="00CA2487">
            <w:pPr>
              <w:spacing w:after="0"/>
              <w:jc w:val="center"/>
            </w:pPr>
            <w:r>
              <w:t xml:space="preserve">SDT &gt; </w:t>
            </w:r>
            <w:proofErr w:type="spellStart"/>
            <w:r>
              <w:t>RedCap</w:t>
            </w:r>
            <w:proofErr w:type="spellEnd"/>
            <w:r>
              <w:t xml:space="preserve"> &gt; </w:t>
            </w:r>
            <w:proofErr w:type="spellStart"/>
            <w:r>
              <w:t>eRedCap</w:t>
            </w:r>
            <w:proofErr w:type="spellEnd"/>
          </w:p>
        </w:tc>
        <w:tc>
          <w:tcPr>
            <w:tcW w:w="2135" w:type="dxa"/>
            <w:vAlign w:val="center"/>
          </w:tcPr>
          <w:p w14:paraId="134E6F7C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135" w:type="dxa"/>
            <w:vAlign w:val="center"/>
          </w:tcPr>
          <w:p w14:paraId="43179288" w14:textId="29237DCF" w:rsidR="00A55C2C" w:rsidRDefault="00A55C2C" w:rsidP="00CA2487">
            <w:pPr>
              <w:spacing w:after="0"/>
              <w:jc w:val="center"/>
            </w:pPr>
            <w:r>
              <w:t>O</w:t>
            </w:r>
          </w:p>
        </w:tc>
        <w:tc>
          <w:tcPr>
            <w:tcW w:w="2136" w:type="dxa"/>
            <w:vAlign w:val="center"/>
          </w:tcPr>
          <w:p w14:paraId="7A5D44DE" w14:textId="3E10D265" w:rsidR="00A55C2C" w:rsidRDefault="00A55C2C" w:rsidP="00CA2487">
            <w:pPr>
              <w:spacing w:after="0"/>
              <w:jc w:val="center"/>
            </w:pPr>
          </w:p>
        </w:tc>
      </w:tr>
      <w:tr w:rsidR="00A55C2C" w14:paraId="71FE2B4C" w14:textId="77777777" w:rsidTr="00CA2487">
        <w:trPr>
          <w:trHeight w:val="321"/>
        </w:trPr>
        <w:tc>
          <w:tcPr>
            <w:tcW w:w="636" w:type="dxa"/>
            <w:vMerge/>
            <w:shd w:val="clear" w:color="auto" w:fill="1F497D" w:themeFill="text2"/>
            <w:vAlign w:val="center"/>
          </w:tcPr>
          <w:p w14:paraId="02D05CF7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641" w:type="dxa"/>
            <w:shd w:val="clear" w:color="auto" w:fill="DBE5F1" w:themeFill="accent1" w:themeFillTint="33"/>
            <w:vAlign w:val="center"/>
          </w:tcPr>
          <w:p w14:paraId="0E8B1CB1" w14:textId="77777777" w:rsidR="00A55C2C" w:rsidRDefault="00A55C2C" w:rsidP="00CA2487">
            <w:pPr>
              <w:spacing w:after="0"/>
              <w:jc w:val="center"/>
            </w:pPr>
            <w:proofErr w:type="spellStart"/>
            <w:r>
              <w:t>eRedCap</w:t>
            </w:r>
            <w:proofErr w:type="spellEnd"/>
            <w:r>
              <w:t xml:space="preserve"> &gt; </w:t>
            </w:r>
            <w:proofErr w:type="spellStart"/>
            <w:r>
              <w:t>RedCap</w:t>
            </w:r>
            <w:proofErr w:type="spellEnd"/>
            <w:r>
              <w:t xml:space="preserve"> &gt; SDT</w:t>
            </w:r>
          </w:p>
        </w:tc>
        <w:tc>
          <w:tcPr>
            <w:tcW w:w="2135" w:type="dxa"/>
            <w:vAlign w:val="center"/>
          </w:tcPr>
          <w:p w14:paraId="09D8652F" w14:textId="77777777" w:rsidR="00A55C2C" w:rsidRDefault="00A55C2C" w:rsidP="00CA2487">
            <w:pPr>
              <w:spacing w:after="0"/>
              <w:jc w:val="center"/>
            </w:pPr>
            <w:r>
              <w:t>O</w:t>
            </w:r>
          </w:p>
        </w:tc>
        <w:tc>
          <w:tcPr>
            <w:tcW w:w="2135" w:type="dxa"/>
            <w:vAlign w:val="center"/>
          </w:tcPr>
          <w:p w14:paraId="4DAE6D00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136" w:type="dxa"/>
            <w:vAlign w:val="center"/>
          </w:tcPr>
          <w:p w14:paraId="37988A4B" w14:textId="77777777" w:rsidR="00A55C2C" w:rsidRDefault="00A55C2C" w:rsidP="00CA2487">
            <w:pPr>
              <w:spacing w:after="0"/>
              <w:jc w:val="center"/>
            </w:pPr>
          </w:p>
        </w:tc>
      </w:tr>
      <w:tr w:rsidR="00A55C2C" w14:paraId="22CE0DB7" w14:textId="77777777" w:rsidTr="00CA2487">
        <w:trPr>
          <w:trHeight w:val="321"/>
        </w:trPr>
        <w:tc>
          <w:tcPr>
            <w:tcW w:w="636" w:type="dxa"/>
            <w:vMerge/>
            <w:shd w:val="clear" w:color="auto" w:fill="1F497D" w:themeFill="text2"/>
            <w:vAlign w:val="center"/>
          </w:tcPr>
          <w:p w14:paraId="3ECFEA76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641" w:type="dxa"/>
            <w:shd w:val="clear" w:color="auto" w:fill="DBE5F1" w:themeFill="accent1" w:themeFillTint="33"/>
            <w:vAlign w:val="center"/>
          </w:tcPr>
          <w:p w14:paraId="4962816A" w14:textId="77777777" w:rsidR="00A55C2C" w:rsidRDefault="00A55C2C" w:rsidP="00CA2487">
            <w:pPr>
              <w:spacing w:after="0"/>
              <w:jc w:val="center"/>
            </w:pPr>
            <w:proofErr w:type="spellStart"/>
            <w:r>
              <w:t>eRedCap</w:t>
            </w:r>
            <w:proofErr w:type="spellEnd"/>
            <w:r>
              <w:t xml:space="preserve"> &gt; SDT &gt; </w:t>
            </w:r>
            <w:proofErr w:type="spellStart"/>
            <w:r>
              <w:t>RedCap</w:t>
            </w:r>
            <w:proofErr w:type="spellEnd"/>
          </w:p>
        </w:tc>
        <w:tc>
          <w:tcPr>
            <w:tcW w:w="2135" w:type="dxa"/>
            <w:vAlign w:val="center"/>
          </w:tcPr>
          <w:p w14:paraId="630BA376" w14:textId="77777777" w:rsidR="00A55C2C" w:rsidRDefault="00A55C2C" w:rsidP="00CA2487">
            <w:pPr>
              <w:spacing w:after="0"/>
              <w:jc w:val="center"/>
            </w:pPr>
            <w:r>
              <w:t>O</w:t>
            </w:r>
          </w:p>
        </w:tc>
        <w:tc>
          <w:tcPr>
            <w:tcW w:w="2135" w:type="dxa"/>
            <w:vAlign w:val="center"/>
          </w:tcPr>
          <w:p w14:paraId="508ACB8B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136" w:type="dxa"/>
            <w:vAlign w:val="center"/>
          </w:tcPr>
          <w:p w14:paraId="77AF7FFD" w14:textId="77777777" w:rsidR="00A55C2C" w:rsidRDefault="00A55C2C" w:rsidP="00CA2487">
            <w:pPr>
              <w:spacing w:after="0"/>
              <w:jc w:val="center"/>
            </w:pPr>
          </w:p>
        </w:tc>
      </w:tr>
      <w:tr w:rsidR="00A55C2C" w14:paraId="09B72439" w14:textId="77777777" w:rsidTr="00CA2487">
        <w:trPr>
          <w:trHeight w:val="321"/>
        </w:trPr>
        <w:tc>
          <w:tcPr>
            <w:tcW w:w="636" w:type="dxa"/>
            <w:vMerge/>
            <w:shd w:val="clear" w:color="auto" w:fill="1F497D" w:themeFill="text2"/>
            <w:vAlign w:val="center"/>
          </w:tcPr>
          <w:p w14:paraId="55F0E23F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641" w:type="dxa"/>
            <w:shd w:val="clear" w:color="auto" w:fill="DBE5F1" w:themeFill="accent1" w:themeFillTint="33"/>
            <w:vAlign w:val="center"/>
          </w:tcPr>
          <w:p w14:paraId="152470A4" w14:textId="77777777" w:rsidR="00A55C2C" w:rsidRDefault="00A55C2C" w:rsidP="00CA2487">
            <w:pPr>
              <w:spacing w:after="0"/>
              <w:jc w:val="center"/>
            </w:pPr>
            <w:proofErr w:type="spellStart"/>
            <w:r>
              <w:t>RedCap</w:t>
            </w:r>
            <w:proofErr w:type="spellEnd"/>
            <w:r>
              <w:t xml:space="preserve"> &gt; </w:t>
            </w:r>
            <w:proofErr w:type="spellStart"/>
            <w:r>
              <w:t>eRedCap</w:t>
            </w:r>
            <w:proofErr w:type="spellEnd"/>
            <w:r>
              <w:t xml:space="preserve"> &gt; SDT</w:t>
            </w:r>
          </w:p>
        </w:tc>
        <w:tc>
          <w:tcPr>
            <w:tcW w:w="2135" w:type="dxa"/>
            <w:vAlign w:val="center"/>
          </w:tcPr>
          <w:p w14:paraId="320210AE" w14:textId="4D194A7D" w:rsidR="00A55C2C" w:rsidRDefault="00A55C2C" w:rsidP="00CA2487">
            <w:pPr>
              <w:spacing w:after="0"/>
              <w:jc w:val="center"/>
            </w:pPr>
          </w:p>
        </w:tc>
        <w:tc>
          <w:tcPr>
            <w:tcW w:w="2135" w:type="dxa"/>
            <w:vAlign w:val="center"/>
          </w:tcPr>
          <w:p w14:paraId="1446B988" w14:textId="26643FF0" w:rsidR="00A55C2C" w:rsidRDefault="00A55C2C" w:rsidP="00CA2487">
            <w:pPr>
              <w:spacing w:after="0"/>
              <w:jc w:val="center"/>
            </w:pPr>
            <w:r>
              <w:t>O</w:t>
            </w:r>
          </w:p>
        </w:tc>
        <w:tc>
          <w:tcPr>
            <w:tcW w:w="2136" w:type="dxa"/>
            <w:vAlign w:val="center"/>
          </w:tcPr>
          <w:p w14:paraId="78485378" w14:textId="77777777" w:rsidR="00A55C2C" w:rsidRDefault="00A55C2C" w:rsidP="00CA2487">
            <w:pPr>
              <w:spacing w:after="0"/>
              <w:jc w:val="center"/>
            </w:pPr>
          </w:p>
        </w:tc>
      </w:tr>
      <w:tr w:rsidR="00A55C2C" w14:paraId="424DF6EA" w14:textId="77777777" w:rsidTr="00CA2487">
        <w:trPr>
          <w:trHeight w:val="321"/>
        </w:trPr>
        <w:tc>
          <w:tcPr>
            <w:tcW w:w="636" w:type="dxa"/>
            <w:vMerge/>
            <w:shd w:val="clear" w:color="auto" w:fill="1F497D" w:themeFill="text2"/>
            <w:vAlign w:val="center"/>
          </w:tcPr>
          <w:p w14:paraId="51F55B79" w14:textId="77777777" w:rsidR="00A55C2C" w:rsidRDefault="00A55C2C" w:rsidP="00CA2487">
            <w:pPr>
              <w:spacing w:after="0"/>
              <w:jc w:val="center"/>
            </w:pPr>
          </w:p>
        </w:tc>
        <w:tc>
          <w:tcPr>
            <w:tcW w:w="2641" w:type="dxa"/>
            <w:shd w:val="clear" w:color="auto" w:fill="DBE5F1" w:themeFill="accent1" w:themeFillTint="33"/>
            <w:vAlign w:val="center"/>
          </w:tcPr>
          <w:p w14:paraId="4CC316B6" w14:textId="77777777" w:rsidR="00A55C2C" w:rsidRDefault="00A55C2C" w:rsidP="00CA2487">
            <w:pPr>
              <w:spacing w:after="0"/>
              <w:jc w:val="center"/>
            </w:pPr>
            <w:proofErr w:type="spellStart"/>
            <w:r>
              <w:t>RedCap</w:t>
            </w:r>
            <w:proofErr w:type="spellEnd"/>
            <w:r>
              <w:t xml:space="preserve"> &gt; </w:t>
            </w:r>
            <w:proofErr w:type="spellStart"/>
            <w:r>
              <w:t>eRedCap</w:t>
            </w:r>
            <w:proofErr w:type="spellEnd"/>
            <w:r>
              <w:t xml:space="preserve"> . SDT</w:t>
            </w:r>
          </w:p>
        </w:tc>
        <w:tc>
          <w:tcPr>
            <w:tcW w:w="2135" w:type="dxa"/>
            <w:vAlign w:val="center"/>
          </w:tcPr>
          <w:p w14:paraId="734B1137" w14:textId="61E5EF46" w:rsidR="00A55C2C" w:rsidRDefault="00A55C2C" w:rsidP="00CA2487">
            <w:pPr>
              <w:spacing w:after="0"/>
              <w:jc w:val="center"/>
            </w:pPr>
          </w:p>
        </w:tc>
        <w:tc>
          <w:tcPr>
            <w:tcW w:w="2135" w:type="dxa"/>
            <w:vAlign w:val="center"/>
          </w:tcPr>
          <w:p w14:paraId="21E067AA" w14:textId="6EF5AC75" w:rsidR="00A55C2C" w:rsidRDefault="00A55C2C" w:rsidP="00CA2487">
            <w:pPr>
              <w:spacing w:after="0"/>
              <w:jc w:val="center"/>
            </w:pPr>
            <w:r>
              <w:t>O</w:t>
            </w:r>
          </w:p>
        </w:tc>
        <w:tc>
          <w:tcPr>
            <w:tcW w:w="2136" w:type="dxa"/>
            <w:vAlign w:val="center"/>
          </w:tcPr>
          <w:p w14:paraId="38F5A1D3" w14:textId="77777777" w:rsidR="00A55C2C" w:rsidRDefault="00A55C2C" w:rsidP="00CA2487">
            <w:pPr>
              <w:spacing w:after="0"/>
              <w:jc w:val="center"/>
            </w:pPr>
          </w:p>
        </w:tc>
      </w:tr>
    </w:tbl>
    <w:p w14:paraId="3B446C25" w14:textId="14769326" w:rsidR="00A55C2C" w:rsidRDefault="00A55C2C" w:rsidP="00A55C2C"/>
    <w:p w14:paraId="2867F327" w14:textId="25F5FEE4" w:rsidR="002472BB" w:rsidRDefault="002472BB" w:rsidP="001E5FE3">
      <w:pPr>
        <w:pStyle w:val="Heading7"/>
      </w:pPr>
      <w:bookmarkStart w:id="10" w:name="_Ref146873717"/>
      <w:r>
        <w:t xml:space="preserve">Proposal </w:t>
      </w:r>
      <w:r w:rsidR="00255791">
        <w:t>2</w:t>
      </w:r>
      <w:r>
        <w:t xml:space="preserve">: </w:t>
      </w:r>
      <w:r w:rsidRPr="001E5FE3">
        <w:t>Consider Option C where an eRedcap UE triggers both eRedcap and Redcap features (</w:t>
      </w:r>
      <w:proofErr w:type="spellStart"/>
      <w:r w:rsidRPr="001E5FE3">
        <w:t>i</w:t>
      </w:r>
      <w:proofErr w:type="spellEnd"/>
      <w:r w:rsidRPr="001E5FE3">
        <w:t>..e. both are considered applicable)</w:t>
      </w:r>
      <w:bookmarkEnd w:id="10"/>
    </w:p>
    <w:p w14:paraId="70C722BB" w14:textId="4A9C5A19" w:rsidR="005E0F35" w:rsidRDefault="005C7484" w:rsidP="005C7484">
      <w:pPr>
        <w:jc w:val="both"/>
      </w:pPr>
      <w:r>
        <w:t xml:space="preserve">In our view a main concern to allow eRedcap UE using a “Redcap” partition </w:t>
      </w:r>
      <w:r w:rsidR="0052719D">
        <w:t>(</w:t>
      </w:r>
      <w:r>
        <w:t>even when eRedcap partition is configured</w:t>
      </w:r>
      <w:r w:rsidR="0052719D">
        <w:t>)</w:t>
      </w:r>
      <w:r>
        <w:t xml:space="preserve"> is related to the </w:t>
      </w:r>
      <w:r w:rsidR="005E0F35">
        <w:t>possible interworking issue if the NW does not adapt the scheduling</w:t>
      </w:r>
      <w:r w:rsidR="00F875D6">
        <w:t>, plus the fact that t</w:t>
      </w:r>
      <w:r w:rsidR="005E0F35">
        <w:t>his also seems not in line with RAN1 agreement</w:t>
      </w:r>
      <w:r w:rsidR="0038267A">
        <w:t>(s)</w:t>
      </w:r>
      <w:r w:rsidR="005E0F35">
        <w:t>. Hence</w:t>
      </w:r>
      <w:r w:rsidR="0052719D">
        <w:t>,</w:t>
      </w:r>
      <w:r w:rsidR="005E0F35">
        <w:t xml:space="preserve"> we believe it is useful to capture under which assumption this is possible.</w:t>
      </w:r>
    </w:p>
    <w:p w14:paraId="7C59EC28" w14:textId="2B5ABD2E" w:rsidR="005E0F35" w:rsidRDefault="005E0F35" w:rsidP="005E0F35">
      <w:pPr>
        <w:pStyle w:val="Heading7"/>
      </w:pPr>
      <w:bookmarkStart w:id="11" w:name="_Ref146874693"/>
      <w:r>
        <w:t xml:space="preserve">Proposal </w:t>
      </w:r>
      <w:r>
        <w:t>3</w:t>
      </w:r>
      <w:r>
        <w:t xml:space="preserve">: </w:t>
      </w:r>
      <w:r>
        <w:t>Capture that NW implementation should consider whether eRedcap UEs may perform access using a Redcap partition, and adapt the scheduling accordingly</w:t>
      </w:r>
      <w:bookmarkEnd w:id="11"/>
    </w:p>
    <w:p w14:paraId="69404712" w14:textId="20C5ABE6" w:rsidR="00255791" w:rsidRPr="00255791" w:rsidRDefault="00255791" w:rsidP="005C7484">
      <w:pPr>
        <w:jc w:val="both"/>
      </w:pPr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22832CF6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18EECB73" w14:textId="61908285" w:rsidR="00606EC5" w:rsidRPr="00606EC5" w:rsidRDefault="00606EC5" w:rsidP="0052719D">
      <w:pPr>
        <w:pStyle w:val="Heading7"/>
        <w:rPr>
          <w:lang w:eastAsia="ja-JP"/>
        </w:rPr>
      </w:pPr>
      <w:r w:rsidRPr="00606EC5">
        <w:rPr>
          <w:lang w:eastAsia="ja-JP"/>
        </w:rPr>
        <w:fldChar w:fldCharType="begin"/>
      </w:r>
      <w:r w:rsidRPr="00606EC5">
        <w:rPr>
          <w:lang w:eastAsia="ja-JP"/>
        </w:rPr>
        <w:instrText xml:space="preserve"> REF _Ref146843220 \h </w:instrText>
      </w:r>
      <w:r w:rsidRPr="00606EC5">
        <w:rPr>
          <w:lang w:eastAsia="ja-JP"/>
        </w:rPr>
      </w:r>
      <w:r>
        <w:rPr>
          <w:lang w:eastAsia="ja-JP"/>
        </w:rPr>
        <w:instrText xml:space="preserve"> \* MERGEFORMAT </w:instrText>
      </w:r>
      <w:r w:rsidRPr="00606EC5">
        <w:rPr>
          <w:lang w:eastAsia="ja-JP"/>
        </w:rPr>
        <w:fldChar w:fldCharType="separate"/>
      </w:r>
      <w:r w:rsidR="00B82095" w:rsidRPr="00606EC5">
        <w:t>Observation</w:t>
      </w:r>
      <w:r w:rsidR="00B82095" w:rsidRPr="00606EC5">
        <w:t xml:space="preserve"> 1: (e)Redcap Msg1 EI </w:t>
      </w:r>
      <w:r w:rsidR="00B82095" w:rsidRPr="00606EC5">
        <w:t>is required if the NW needs to adapt Msg2/Msg3 scheduling</w:t>
      </w:r>
      <w:r w:rsidRPr="00606EC5">
        <w:rPr>
          <w:lang w:eastAsia="ja-JP"/>
        </w:rPr>
        <w:fldChar w:fldCharType="end"/>
      </w:r>
    </w:p>
    <w:p w14:paraId="3B230168" w14:textId="760176C9" w:rsidR="00606EC5" w:rsidRPr="00606EC5" w:rsidRDefault="00606EC5" w:rsidP="0052719D">
      <w:pPr>
        <w:pStyle w:val="Heading7"/>
        <w:rPr>
          <w:lang w:eastAsia="ja-JP"/>
        </w:rPr>
      </w:pPr>
      <w:r w:rsidRPr="00606EC5">
        <w:rPr>
          <w:lang w:eastAsia="ja-JP"/>
        </w:rPr>
        <w:fldChar w:fldCharType="begin"/>
      </w:r>
      <w:r w:rsidRPr="00606EC5">
        <w:rPr>
          <w:lang w:eastAsia="ja-JP"/>
        </w:rPr>
        <w:instrText xml:space="preserve"> REF _Ref146843221 \h </w:instrText>
      </w:r>
      <w:r w:rsidRPr="00606EC5">
        <w:rPr>
          <w:lang w:eastAsia="ja-JP"/>
        </w:rPr>
      </w:r>
      <w:r>
        <w:rPr>
          <w:lang w:eastAsia="ja-JP"/>
        </w:rPr>
        <w:instrText xml:space="preserve"> \* MERGEFORMAT </w:instrText>
      </w:r>
      <w:r w:rsidRPr="00606EC5">
        <w:rPr>
          <w:lang w:eastAsia="ja-JP"/>
        </w:rPr>
        <w:fldChar w:fldCharType="separate"/>
      </w:r>
      <w:r w:rsidR="00B82095" w:rsidRPr="00606EC5">
        <w:t xml:space="preserve">Observation </w:t>
      </w:r>
      <w:r w:rsidR="00B82095" w:rsidRPr="00606EC5">
        <w:t>2</w:t>
      </w:r>
      <w:r w:rsidR="00B82095" w:rsidRPr="00606EC5">
        <w:t xml:space="preserve">: </w:t>
      </w:r>
      <w:r w:rsidR="00B82095" w:rsidRPr="00606EC5">
        <w:t xml:space="preserve">If </w:t>
      </w:r>
      <w:r w:rsidR="00B82095" w:rsidRPr="00606EC5">
        <w:t xml:space="preserve">(e)Redcap Msg1 EI is </w:t>
      </w:r>
      <w:r w:rsidR="00B82095" w:rsidRPr="00606EC5">
        <w:t xml:space="preserve">configured but not indicated by the </w:t>
      </w:r>
      <w:r w:rsidR="00B82095" w:rsidRPr="00606EC5">
        <w:t xml:space="preserve">(e)Redcap </w:t>
      </w:r>
      <w:r w:rsidR="00B82095" w:rsidRPr="00606EC5">
        <w:t>UE, there will be interworking issues</w:t>
      </w:r>
      <w:r w:rsidRPr="00606EC5">
        <w:rPr>
          <w:lang w:eastAsia="ja-JP"/>
        </w:rPr>
        <w:fldChar w:fldCharType="end"/>
      </w:r>
    </w:p>
    <w:p w14:paraId="30D2D0F4" w14:textId="06BBBFF0" w:rsidR="00606EC5" w:rsidRDefault="00606EC5" w:rsidP="0052719D">
      <w:pPr>
        <w:pStyle w:val="Heading7"/>
        <w:rPr>
          <w:lang w:eastAsia="ja-JP"/>
        </w:rPr>
      </w:pPr>
      <w:r w:rsidRPr="00606EC5">
        <w:rPr>
          <w:lang w:eastAsia="ja-JP"/>
        </w:rPr>
        <w:fldChar w:fldCharType="begin"/>
      </w:r>
      <w:r w:rsidRPr="00606EC5">
        <w:rPr>
          <w:lang w:eastAsia="ja-JP"/>
        </w:rPr>
        <w:instrText xml:space="preserve"> REF _Ref146843223 \h </w:instrText>
      </w:r>
      <w:r w:rsidRPr="00606EC5">
        <w:rPr>
          <w:lang w:eastAsia="ja-JP"/>
        </w:rPr>
      </w:r>
      <w:r>
        <w:rPr>
          <w:lang w:eastAsia="ja-JP"/>
        </w:rPr>
        <w:instrText xml:space="preserve"> \* MERGEFORMAT </w:instrText>
      </w:r>
      <w:r w:rsidRPr="00606EC5">
        <w:rPr>
          <w:lang w:eastAsia="ja-JP"/>
        </w:rPr>
        <w:fldChar w:fldCharType="separate"/>
      </w:r>
      <w:r w:rsidR="00B82095">
        <w:t>Observation</w:t>
      </w:r>
      <w:r w:rsidR="00B82095" w:rsidRPr="00606EC5">
        <w:t xml:space="preserve"> </w:t>
      </w:r>
      <w:r w:rsidR="00B82095">
        <w:t>3</w:t>
      </w:r>
      <w:r w:rsidR="00B82095" w:rsidRPr="00606EC5">
        <w:t xml:space="preserve">: </w:t>
      </w:r>
      <w:r w:rsidR="00B82095">
        <w:t>Usage of “</w:t>
      </w:r>
      <w:proofErr w:type="spellStart"/>
      <w:r w:rsidR="00B82095">
        <w:t>Redcap+SDT</w:t>
      </w:r>
      <w:proofErr w:type="spellEnd"/>
      <w:r w:rsidR="00B82095">
        <w:t>” partition by eRedcap UEs may cause interworking issues</w:t>
      </w:r>
      <w:r w:rsidRPr="00606EC5">
        <w:rPr>
          <w:lang w:eastAsia="ja-JP"/>
        </w:rPr>
        <w:fldChar w:fldCharType="end"/>
      </w:r>
    </w:p>
    <w:p w14:paraId="08E4F039" w14:textId="02F51042" w:rsidR="008A362F" w:rsidRDefault="008A362F" w:rsidP="0052719D">
      <w:pPr>
        <w:pStyle w:val="Heading7"/>
      </w:pPr>
      <w:r>
        <w:fldChar w:fldCharType="begin"/>
      </w:r>
      <w:r>
        <w:instrText xml:space="preserve"> REF _Ref146868865 \h </w:instrText>
      </w:r>
      <w:r w:rsidR="00255791">
        <w:instrText xml:space="preserve"> \* MERGEFORMAT </w:instrText>
      </w:r>
      <w:r>
        <w:fldChar w:fldCharType="separate"/>
      </w:r>
      <w:r w:rsidR="00B82095">
        <w:t>Observation</w:t>
      </w:r>
      <w:r w:rsidR="00B82095" w:rsidRPr="00606EC5">
        <w:t xml:space="preserve"> </w:t>
      </w:r>
      <w:r w:rsidR="00B82095">
        <w:t>4</w:t>
      </w:r>
      <w:r w:rsidR="00B82095" w:rsidRPr="00606EC5">
        <w:t xml:space="preserve">: </w:t>
      </w:r>
      <w:r w:rsidR="00B82095">
        <w:t>Usage of “</w:t>
      </w:r>
      <w:proofErr w:type="spellStart"/>
      <w:r w:rsidR="00B82095">
        <w:t>e</w:t>
      </w:r>
      <w:r w:rsidR="00B82095">
        <w:t>Redcap+SDT</w:t>
      </w:r>
      <w:proofErr w:type="spellEnd"/>
      <w:r w:rsidR="00B82095">
        <w:t xml:space="preserve">” partition by Redcap UEs </w:t>
      </w:r>
      <w:r w:rsidR="00B82095">
        <w:t>would be preferable (no interworking issues), however this would impact Rel-17</w:t>
      </w:r>
      <w:r>
        <w:fldChar w:fldCharType="end"/>
      </w:r>
    </w:p>
    <w:p w14:paraId="2A404F20" w14:textId="144EEE2E" w:rsidR="008A362F" w:rsidRDefault="008A362F" w:rsidP="0052719D">
      <w:pPr>
        <w:pStyle w:val="Heading7"/>
      </w:pPr>
      <w:r>
        <w:fldChar w:fldCharType="begin"/>
      </w:r>
      <w:r>
        <w:instrText xml:space="preserve"> REF _Ref146868866 \h </w:instrText>
      </w:r>
      <w:r w:rsidR="00255791">
        <w:instrText xml:space="preserve"> \* MERGEFORMAT </w:instrText>
      </w:r>
      <w:r>
        <w:fldChar w:fldCharType="separate"/>
      </w:r>
      <w:r w:rsidR="00B82095" w:rsidRPr="008A362F">
        <w:t>Observation 5: Usage of “</w:t>
      </w:r>
      <w:proofErr w:type="spellStart"/>
      <w:r w:rsidR="00B82095" w:rsidRPr="008A362F">
        <w:t>Redcap+SDT</w:t>
      </w:r>
      <w:proofErr w:type="spellEnd"/>
      <w:r w:rsidR="00B82095" w:rsidRPr="008A362F">
        <w:t xml:space="preserve">” partition by eRedcap UEs is possible if NW </w:t>
      </w:r>
      <w:r w:rsidR="00B82095" w:rsidRPr="008A362F">
        <w:t>adapt</w:t>
      </w:r>
      <w:r w:rsidR="00B82095">
        <w:t>s</w:t>
      </w:r>
      <w:r w:rsidR="00B82095" w:rsidRPr="008A362F">
        <w:t xml:space="preserve"> Msg2/Msg3 scheduling to accommodate eRedcap UEs</w:t>
      </w:r>
      <w:r>
        <w:fldChar w:fldCharType="end"/>
      </w:r>
    </w:p>
    <w:p w14:paraId="46DA0420" w14:textId="3819CEB4" w:rsidR="008A362F" w:rsidRDefault="008A362F" w:rsidP="0052719D">
      <w:pPr>
        <w:pStyle w:val="Heading7"/>
      </w:pPr>
      <w:r>
        <w:fldChar w:fldCharType="begin"/>
      </w:r>
      <w:r>
        <w:instrText xml:space="preserve"> REF _Ref146868868 \h </w:instrText>
      </w:r>
      <w:r w:rsidR="00255791">
        <w:instrText xml:space="preserve"> \* MERGEFORMAT </w:instrText>
      </w:r>
      <w:r>
        <w:fldChar w:fldCharType="separate"/>
      </w:r>
      <w:r w:rsidR="00B82095">
        <w:t xml:space="preserve">Proposal 1: For best flexibility, specify an option that also allows eRedcap UEs to access non eRedcap partition (e.g. </w:t>
      </w:r>
      <w:proofErr w:type="spellStart"/>
      <w:r w:rsidR="00B82095">
        <w:t>Redcap+SDT</w:t>
      </w:r>
      <w:proofErr w:type="spellEnd"/>
      <w:r w:rsidR="00B82095">
        <w:t>), with the constraint that NW should still accommodate eRedcap UEs scheduling</w:t>
      </w:r>
      <w:r>
        <w:fldChar w:fldCharType="end"/>
      </w:r>
    </w:p>
    <w:p w14:paraId="512173AD" w14:textId="1AA2AEBB" w:rsidR="001E5FE3" w:rsidRDefault="00255791" w:rsidP="0052719D">
      <w:pPr>
        <w:pStyle w:val="Heading7"/>
      </w:pPr>
      <w:r w:rsidRPr="00255791">
        <w:fldChar w:fldCharType="begin"/>
      </w:r>
      <w:r w:rsidRPr="00255791">
        <w:instrText xml:space="preserve"> REF _Ref146873717 \h </w:instrText>
      </w:r>
      <w:r>
        <w:instrText xml:space="preserve"> \* MERGEFORMAT </w:instrText>
      </w:r>
      <w:r w:rsidRPr="00255791">
        <w:fldChar w:fldCharType="separate"/>
      </w:r>
      <w:r w:rsidR="00B82095">
        <w:t xml:space="preserve">Proposal </w:t>
      </w:r>
      <w:r w:rsidR="00B82095">
        <w:t>2</w:t>
      </w:r>
      <w:r w:rsidR="00B82095">
        <w:t xml:space="preserve">: </w:t>
      </w:r>
      <w:r w:rsidR="00B82095" w:rsidRPr="001E5FE3">
        <w:t>Consider Option C where an eRedcap UE triggers both eRedcap and Redcap features (</w:t>
      </w:r>
      <w:proofErr w:type="spellStart"/>
      <w:r w:rsidR="00B82095" w:rsidRPr="001E5FE3">
        <w:t>i</w:t>
      </w:r>
      <w:proofErr w:type="spellEnd"/>
      <w:r w:rsidR="00B82095" w:rsidRPr="001E5FE3">
        <w:t>..e. both are considered applicable)</w:t>
      </w:r>
      <w:r w:rsidRPr="00255791">
        <w:fldChar w:fldCharType="end"/>
      </w:r>
    </w:p>
    <w:p w14:paraId="669D682F" w14:textId="5EDF3F10" w:rsidR="005E0F35" w:rsidRPr="005E0F35" w:rsidRDefault="005E0F35" w:rsidP="0052719D">
      <w:pPr>
        <w:pStyle w:val="Heading7"/>
      </w:pPr>
      <w:r w:rsidRPr="005E0F35">
        <w:fldChar w:fldCharType="begin"/>
      </w:r>
      <w:r w:rsidRPr="005E0F35">
        <w:instrText xml:space="preserve"> REF _Ref146874693 \h </w:instrText>
      </w:r>
      <w:r w:rsidRPr="005E0F35">
        <w:instrText xml:space="preserve"> \* MERGEFORMAT </w:instrText>
      </w:r>
      <w:r w:rsidRPr="005E0F35">
        <w:fldChar w:fldCharType="separate"/>
      </w:r>
      <w:r w:rsidR="00B82095">
        <w:t xml:space="preserve">Proposal </w:t>
      </w:r>
      <w:r w:rsidR="00B82095">
        <w:t>3</w:t>
      </w:r>
      <w:r w:rsidR="00B82095">
        <w:t xml:space="preserve">: </w:t>
      </w:r>
      <w:r w:rsidR="00B82095">
        <w:t>Capture that NW implementation should consider whether eRedcap UEs may perform access using a Redcap partition, and adapt the scheduling accordingly</w:t>
      </w:r>
      <w:r w:rsidRPr="005E0F35">
        <w:fldChar w:fldCharType="end"/>
      </w:r>
    </w:p>
    <w:p w14:paraId="3E9C185A" w14:textId="77777777" w:rsidR="00C24D7F" w:rsidRPr="00592975" w:rsidRDefault="00C24D7F" w:rsidP="00C24D7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92975">
        <w:rPr>
          <w:rFonts w:ascii="Arial" w:hAnsi="Arial"/>
          <w:sz w:val="36"/>
        </w:rPr>
        <w:t>References</w:t>
      </w:r>
    </w:p>
    <w:p w14:paraId="280DAC24" w14:textId="01BA3DB5" w:rsidR="00B93E47" w:rsidRPr="002665DB" w:rsidRDefault="00B93E47" w:rsidP="002665D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12" w:name="_Ref146822507"/>
      <w:r w:rsidRPr="00B93E47">
        <w:t xml:space="preserve">[Post123][756] </w:t>
      </w:r>
      <w:proofErr w:type="spellStart"/>
      <w:r w:rsidRPr="00B93E47">
        <w:t>eRedCap</w:t>
      </w:r>
      <w:proofErr w:type="spellEnd"/>
      <w:r w:rsidRPr="00B93E47">
        <w:t xml:space="preserve"> UEs </w:t>
      </w:r>
      <w:proofErr w:type="spellStart"/>
      <w:r w:rsidRPr="00B93E47">
        <w:t>behaviour</w:t>
      </w:r>
      <w:proofErr w:type="spellEnd"/>
      <w:r w:rsidRPr="00B93E47">
        <w:t xml:space="preserve"> without </w:t>
      </w:r>
      <w:proofErr w:type="spellStart"/>
      <w:r w:rsidRPr="00B93E47">
        <w:t>eRedCap</w:t>
      </w:r>
      <w:proofErr w:type="spellEnd"/>
      <w:r w:rsidRPr="00B93E47">
        <w:t xml:space="preserve"> RA-partition (Nokia)</w:t>
      </w:r>
      <w:bookmarkEnd w:id="12"/>
    </w:p>
    <w:sectPr w:rsidR="00B93E47" w:rsidRPr="002665DB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F53C" w14:textId="77777777" w:rsidR="001C6A0B" w:rsidRDefault="001C6A0B">
      <w:r>
        <w:separator/>
      </w:r>
    </w:p>
  </w:endnote>
  <w:endnote w:type="continuationSeparator" w:id="0">
    <w:p w14:paraId="2A1E3430" w14:textId="77777777" w:rsidR="001C6A0B" w:rsidRDefault="001C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4674C" w14:textId="77777777" w:rsidR="001C6A0B" w:rsidRDefault="001C6A0B">
      <w:r>
        <w:separator/>
      </w:r>
    </w:p>
  </w:footnote>
  <w:footnote w:type="continuationSeparator" w:id="0">
    <w:p w14:paraId="671A4FB0" w14:textId="77777777" w:rsidR="001C6A0B" w:rsidRDefault="001C6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835B47"/>
    <w:multiLevelType w:val="hybridMultilevel"/>
    <w:tmpl w:val="EA36C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B3497"/>
    <w:multiLevelType w:val="hybridMultilevel"/>
    <w:tmpl w:val="2A0EA958"/>
    <w:lvl w:ilvl="0" w:tplc="9B3A7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719F8"/>
    <w:multiLevelType w:val="hybridMultilevel"/>
    <w:tmpl w:val="DD84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F81243"/>
    <w:multiLevelType w:val="hybridMultilevel"/>
    <w:tmpl w:val="974CE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402CD"/>
    <w:multiLevelType w:val="hybridMultilevel"/>
    <w:tmpl w:val="34F02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F560F6"/>
    <w:multiLevelType w:val="hybridMultilevel"/>
    <w:tmpl w:val="0D828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31B6AC2"/>
    <w:multiLevelType w:val="hybridMultilevel"/>
    <w:tmpl w:val="C83E7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0302E"/>
    <w:multiLevelType w:val="hybridMultilevel"/>
    <w:tmpl w:val="B0C64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D57A3"/>
    <w:multiLevelType w:val="hybridMultilevel"/>
    <w:tmpl w:val="7B2A7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8C35A5"/>
    <w:multiLevelType w:val="hybridMultilevel"/>
    <w:tmpl w:val="5AF28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6FA2713F"/>
    <w:multiLevelType w:val="hybridMultilevel"/>
    <w:tmpl w:val="BD62CC0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7" w15:restartNumberingAfterBreak="0">
    <w:nsid w:val="77B12593"/>
    <w:multiLevelType w:val="hybridMultilevel"/>
    <w:tmpl w:val="AFAE25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4E24"/>
    <w:multiLevelType w:val="hybridMultilevel"/>
    <w:tmpl w:val="42C6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D5559"/>
    <w:multiLevelType w:val="hybridMultilevel"/>
    <w:tmpl w:val="CCEAE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2"/>
  </w:num>
  <w:num w:numId="2" w16cid:durableId="76833372">
    <w:abstractNumId w:val="32"/>
  </w:num>
  <w:num w:numId="3" w16cid:durableId="2082825852">
    <w:abstractNumId w:val="40"/>
  </w:num>
  <w:num w:numId="4" w16cid:durableId="157775281">
    <w:abstractNumId w:val="19"/>
  </w:num>
  <w:num w:numId="5" w16cid:durableId="1805999360">
    <w:abstractNumId w:val="14"/>
  </w:num>
  <w:num w:numId="6" w16cid:durableId="1078985014">
    <w:abstractNumId w:val="10"/>
  </w:num>
  <w:num w:numId="7" w16cid:durableId="347832074">
    <w:abstractNumId w:val="34"/>
  </w:num>
  <w:num w:numId="8" w16cid:durableId="1535531686">
    <w:abstractNumId w:val="21"/>
  </w:num>
  <w:num w:numId="9" w16cid:durableId="627929095">
    <w:abstractNumId w:val="11"/>
  </w:num>
  <w:num w:numId="10" w16cid:durableId="1944604180">
    <w:abstractNumId w:val="15"/>
  </w:num>
  <w:num w:numId="11" w16cid:durableId="1152991577">
    <w:abstractNumId w:val="43"/>
  </w:num>
  <w:num w:numId="12" w16cid:durableId="1109471788">
    <w:abstractNumId w:val="28"/>
  </w:num>
  <w:num w:numId="13" w16cid:durableId="1309284776">
    <w:abstractNumId w:val="35"/>
  </w:num>
  <w:num w:numId="14" w16cid:durableId="1674870175">
    <w:abstractNumId w:val="24"/>
  </w:num>
  <w:num w:numId="15" w16cid:durableId="1257863371">
    <w:abstractNumId w:val="41"/>
  </w:num>
  <w:num w:numId="16" w16cid:durableId="1748528998">
    <w:abstractNumId w:val="18"/>
  </w:num>
  <w:num w:numId="17" w16cid:durableId="688412725">
    <w:abstractNumId w:val="5"/>
  </w:num>
  <w:num w:numId="18" w16cid:durableId="718362388">
    <w:abstractNumId w:val="30"/>
  </w:num>
  <w:num w:numId="19" w16cid:durableId="1446198147">
    <w:abstractNumId w:val="13"/>
  </w:num>
  <w:num w:numId="20" w16cid:durableId="60912961">
    <w:abstractNumId w:val="27"/>
  </w:num>
  <w:num w:numId="21" w16cid:durableId="1566180429">
    <w:abstractNumId w:val="39"/>
  </w:num>
  <w:num w:numId="22" w16cid:durableId="137577222">
    <w:abstractNumId w:val="42"/>
  </w:num>
  <w:num w:numId="23" w16cid:durableId="908921185">
    <w:abstractNumId w:val="6"/>
  </w:num>
  <w:num w:numId="24" w16cid:durableId="484131321">
    <w:abstractNumId w:val="3"/>
  </w:num>
  <w:num w:numId="25" w16cid:durableId="228660454">
    <w:abstractNumId w:val="29"/>
  </w:num>
  <w:num w:numId="26" w16cid:durableId="1272326021">
    <w:abstractNumId w:val="37"/>
  </w:num>
  <w:num w:numId="27" w16cid:durableId="1226529363">
    <w:abstractNumId w:val="20"/>
  </w:num>
  <w:num w:numId="28" w16cid:durableId="1566183131">
    <w:abstractNumId w:val="26"/>
  </w:num>
  <w:num w:numId="29" w16cid:durableId="1381050041">
    <w:abstractNumId w:val="2"/>
  </w:num>
  <w:num w:numId="30" w16cid:durableId="366687074">
    <w:abstractNumId w:val="36"/>
  </w:num>
  <w:num w:numId="31" w16cid:durableId="555245643">
    <w:abstractNumId w:val="31"/>
  </w:num>
  <w:num w:numId="32" w16cid:durableId="1068188753">
    <w:abstractNumId w:val="8"/>
  </w:num>
  <w:num w:numId="33" w16cid:durableId="397366662">
    <w:abstractNumId w:val="25"/>
  </w:num>
  <w:num w:numId="34" w16cid:durableId="1204057605">
    <w:abstractNumId w:val="33"/>
  </w:num>
  <w:num w:numId="35" w16cid:durableId="1327980064">
    <w:abstractNumId w:val="23"/>
  </w:num>
  <w:num w:numId="36" w16cid:durableId="629097139">
    <w:abstractNumId w:val="1"/>
  </w:num>
  <w:num w:numId="37" w16cid:durableId="18048642">
    <w:abstractNumId w:val="7"/>
  </w:num>
  <w:num w:numId="38" w16cid:durableId="563873445">
    <w:abstractNumId w:val="9"/>
  </w:num>
  <w:num w:numId="39" w16cid:durableId="1295596932">
    <w:abstractNumId w:val="16"/>
  </w:num>
  <w:num w:numId="40" w16cid:durableId="1269895512">
    <w:abstractNumId w:val="12"/>
  </w:num>
  <w:num w:numId="41" w16cid:durableId="762268118">
    <w:abstractNumId w:val="17"/>
  </w:num>
  <w:num w:numId="42" w16cid:durableId="2005621013">
    <w:abstractNumId w:val="4"/>
  </w:num>
  <w:num w:numId="43" w16cid:durableId="231937418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4B8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0E14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78D"/>
    <w:rsid w:val="00032846"/>
    <w:rsid w:val="00032C05"/>
    <w:rsid w:val="00032C8E"/>
    <w:rsid w:val="000332DA"/>
    <w:rsid w:val="0003352E"/>
    <w:rsid w:val="0003375A"/>
    <w:rsid w:val="000338BB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2B8F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3B5F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7833"/>
    <w:rsid w:val="00067F29"/>
    <w:rsid w:val="00070561"/>
    <w:rsid w:val="00070ECC"/>
    <w:rsid w:val="00071C47"/>
    <w:rsid w:val="00071CD0"/>
    <w:rsid w:val="00072661"/>
    <w:rsid w:val="00072747"/>
    <w:rsid w:val="00072783"/>
    <w:rsid w:val="00072CAD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A39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A7EA3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E10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1E7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941"/>
    <w:rsid w:val="000E5AD2"/>
    <w:rsid w:val="000E5C64"/>
    <w:rsid w:val="000E6208"/>
    <w:rsid w:val="000E626B"/>
    <w:rsid w:val="000E6A5E"/>
    <w:rsid w:val="000E7792"/>
    <w:rsid w:val="000F06B4"/>
    <w:rsid w:val="000F0B5F"/>
    <w:rsid w:val="000F0B8E"/>
    <w:rsid w:val="000F0E0B"/>
    <w:rsid w:val="000F121D"/>
    <w:rsid w:val="000F16A9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46F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5312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2A3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88C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30C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A9"/>
    <w:rsid w:val="00192BD6"/>
    <w:rsid w:val="00192BE0"/>
    <w:rsid w:val="00193142"/>
    <w:rsid w:val="00193747"/>
    <w:rsid w:val="0019392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50C"/>
    <w:rsid w:val="001A6604"/>
    <w:rsid w:val="001A742D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6F7"/>
    <w:rsid w:val="001C17E2"/>
    <w:rsid w:val="001C2095"/>
    <w:rsid w:val="001C209E"/>
    <w:rsid w:val="001C2144"/>
    <w:rsid w:val="001C3588"/>
    <w:rsid w:val="001C3B26"/>
    <w:rsid w:val="001C3E04"/>
    <w:rsid w:val="001C3FC8"/>
    <w:rsid w:val="001C41EF"/>
    <w:rsid w:val="001C4833"/>
    <w:rsid w:val="001C4AAD"/>
    <w:rsid w:val="001C54F3"/>
    <w:rsid w:val="001C5DB8"/>
    <w:rsid w:val="001C65C4"/>
    <w:rsid w:val="001C6A0B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5FE3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0DF7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EF5"/>
    <w:rsid w:val="001F4F76"/>
    <w:rsid w:val="001F5919"/>
    <w:rsid w:val="001F5A12"/>
    <w:rsid w:val="001F5A57"/>
    <w:rsid w:val="001F5C35"/>
    <w:rsid w:val="001F5D87"/>
    <w:rsid w:val="001F66DD"/>
    <w:rsid w:val="001F6711"/>
    <w:rsid w:val="001F6F0C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5027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32E"/>
    <w:rsid w:val="002105DE"/>
    <w:rsid w:val="0021083C"/>
    <w:rsid w:val="00211030"/>
    <w:rsid w:val="002110E9"/>
    <w:rsid w:val="0021172D"/>
    <w:rsid w:val="00211EF7"/>
    <w:rsid w:val="002120C0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30C"/>
    <w:rsid w:val="00221469"/>
    <w:rsid w:val="00221513"/>
    <w:rsid w:val="002215F8"/>
    <w:rsid w:val="002216E6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EC6"/>
    <w:rsid w:val="002322F6"/>
    <w:rsid w:val="0023241A"/>
    <w:rsid w:val="00232617"/>
    <w:rsid w:val="0023268F"/>
    <w:rsid w:val="002332B7"/>
    <w:rsid w:val="002335FF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1A65"/>
    <w:rsid w:val="00242173"/>
    <w:rsid w:val="002424C0"/>
    <w:rsid w:val="0024282D"/>
    <w:rsid w:val="00243641"/>
    <w:rsid w:val="002437DD"/>
    <w:rsid w:val="00244113"/>
    <w:rsid w:val="00244D50"/>
    <w:rsid w:val="00244F0C"/>
    <w:rsid w:val="0024523B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2BB"/>
    <w:rsid w:val="002474A3"/>
    <w:rsid w:val="002479E3"/>
    <w:rsid w:val="00250815"/>
    <w:rsid w:val="00250BD8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791"/>
    <w:rsid w:val="00255890"/>
    <w:rsid w:val="002559A4"/>
    <w:rsid w:val="00255C09"/>
    <w:rsid w:val="00255F9D"/>
    <w:rsid w:val="002560F6"/>
    <w:rsid w:val="00256328"/>
    <w:rsid w:val="0025665A"/>
    <w:rsid w:val="0025787E"/>
    <w:rsid w:val="00257B37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39C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469"/>
    <w:rsid w:val="002665DB"/>
    <w:rsid w:val="00266622"/>
    <w:rsid w:val="00266850"/>
    <w:rsid w:val="00266CAB"/>
    <w:rsid w:val="0026741D"/>
    <w:rsid w:val="00267702"/>
    <w:rsid w:val="00267A28"/>
    <w:rsid w:val="00267EEA"/>
    <w:rsid w:val="0027005B"/>
    <w:rsid w:val="00270BAF"/>
    <w:rsid w:val="00270EA9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3EF"/>
    <w:rsid w:val="00295590"/>
    <w:rsid w:val="00295815"/>
    <w:rsid w:val="00296311"/>
    <w:rsid w:val="00296A06"/>
    <w:rsid w:val="00296B7E"/>
    <w:rsid w:val="00296FCC"/>
    <w:rsid w:val="002971A8"/>
    <w:rsid w:val="0029755B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4AD3"/>
    <w:rsid w:val="002B6395"/>
    <w:rsid w:val="002B6575"/>
    <w:rsid w:val="002B6616"/>
    <w:rsid w:val="002B6779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197"/>
    <w:rsid w:val="002C5212"/>
    <w:rsid w:val="002C5FC9"/>
    <w:rsid w:val="002C623C"/>
    <w:rsid w:val="002C68E7"/>
    <w:rsid w:val="002C6A56"/>
    <w:rsid w:val="002C720E"/>
    <w:rsid w:val="002C72DB"/>
    <w:rsid w:val="002C757F"/>
    <w:rsid w:val="002C75D4"/>
    <w:rsid w:val="002D074F"/>
    <w:rsid w:val="002D087B"/>
    <w:rsid w:val="002D0BCE"/>
    <w:rsid w:val="002D0C6C"/>
    <w:rsid w:val="002D0C99"/>
    <w:rsid w:val="002D1974"/>
    <w:rsid w:val="002D1AB6"/>
    <w:rsid w:val="002D22B8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10D7"/>
    <w:rsid w:val="002E173F"/>
    <w:rsid w:val="002E18F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E3D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1B10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163"/>
    <w:rsid w:val="003443B7"/>
    <w:rsid w:val="003449E5"/>
    <w:rsid w:val="00344AEE"/>
    <w:rsid w:val="00344C28"/>
    <w:rsid w:val="003453D9"/>
    <w:rsid w:val="0034548A"/>
    <w:rsid w:val="00345A7D"/>
    <w:rsid w:val="00345CDD"/>
    <w:rsid w:val="00345FF9"/>
    <w:rsid w:val="0034613F"/>
    <w:rsid w:val="003466B5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D59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439"/>
    <w:rsid w:val="0036684F"/>
    <w:rsid w:val="00367389"/>
    <w:rsid w:val="00367B50"/>
    <w:rsid w:val="00367B54"/>
    <w:rsid w:val="00367F54"/>
    <w:rsid w:val="00370110"/>
    <w:rsid w:val="0037015B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77EF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67A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5CA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6AB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5BD"/>
    <w:rsid w:val="003C5669"/>
    <w:rsid w:val="003C5982"/>
    <w:rsid w:val="003C5C1B"/>
    <w:rsid w:val="003C5F1D"/>
    <w:rsid w:val="003C6A0E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2E36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B49"/>
    <w:rsid w:val="003E2041"/>
    <w:rsid w:val="003E26D9"/>
    <w:rsid w:val="003E2DB4"/>
    <w:rsid w:val="003E3586"/>
    <w:rsid w:val="003E36DA"/>
    <w:rsid w:val="003E3A86"/>
    <w:rsid w:val="003E3D07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2DA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5C7"/>
    <w:rsid w:val="00400B64"/>
    <w:rsid w:val="00400BE2"/>
    <w:rsid w:val="00400EFE"/>
    <w:rsid w:val="00402015"/>
    <w:rsid w:val="00402187"/>
    <w:rsid w:val="004032AC"/>
    <w:rsid w:val="004033F5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1264"/>
    <w:rsid w:val="00411D0B"/>
    <w:rsid w:val="00412401"/>
    <w:rsid w:val="00412E9B"/>
    <w:rsid w:val="00412FB7"/>
    <w:rsid w:val="004136E7"/>
    <w:rsid w:val="004137EA"/>
    <w:rsid w:val="00413AF1"/>
    <w:rsid w:val="00413DDE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39D"/>
    <w:rsid w:val="00437410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89C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28"/>
    <w:rsid w:val="00446644"/>
    <w:rsid w:val="0044682B"/>
    <w:rsid w:val="004479B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50D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3FAB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385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99D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1A98"/>
    <w:rsid w:val="0049208C"/>
    <w:rsid w:val="0049227E"/>
    <w:rsid w:val="004928E2"/>
    <w:rsid w:val="00492EE6"/>
    <w:rsid w:val="004936A5"/>
    <w:rsid w:val="00493A04"/>
    <w:rsid w:val="00493E4C"/>
    <w:rsid w:val="0049447A"/>
    <w:rsid w:val="004947CF"/>
    <w:rsid w:val="00494846"/>
    <w:rsid w:val="00494864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194"/>
    <w:rsid w:val="004A35BE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723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294B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E35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48E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52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0F05"/>
    <w:rsid w:val="0052138B"/>
    <w:rsid w:val="005216A3"/>
    <w:rsid w:val="00521A11"/>
    <w:rsid w:val="00521CA3"/>
    <w:rsid w:val="00522410"/>
    <w:rsid w:val="00522B70"/>
    <w:rsid w:val="00522C21"/>
    <w:rsid w:val="00522CE4"/>
    <w:rsid w:val="00522FF9"/>
    <w:rsid w:val="00523601"/>
    <w:rsid w:val="00523667"/>
    <w:rsid w:val="0052367A"/>
    <w:rsid w:val="00523971"/>
    <w:rsid w:val="005244F7"/>
    <w:rsid w:val="005245A3"/>
    <w:rsid w:val="005248ED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19D"/>
    <w:rsid w:val="0052782A"/>
    <w:rsid w:val="00530446"/>
    <w:rsid w:val="00530B90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4B7"/>
    <w:rsid w:val="0054655F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412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14F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610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041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3A5B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60F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3A9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0B5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289"/>
    <w:rsid w:val="005C629C"/>
    <w:rsid w:val="005C6579"/>
    <w:rsid w:val="005C6EA5"/>
    <w:rsid w:val="005C747F"/>
    <w:rsid w:val="005C7484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1EB"/>
    <w:rsid w:val="005D53A7"/>
    <w:rsid w:val="005D53F5"/>
    <w:rsid w:val="005D5C76"/>
    <w:rsid w:val="005D5F7D"/>
    <w:rsid w:val="005D6520"/>
    <w:rsid w:val="005D6B67"/>
    <w:rsid w:val="005D70AB"/>
    <w:rsid w:val="005D717F"/>
    <w:rsid w:val="005D789D"/>
    <w:rsid w:val="005D7BEA"/>
    <w:rsid w:val="005D7F3A"/>
    <w:rsid w:val="005E003E"/>
    <w:rsid w:val="005E007B"/>
    <w:rsid w:val="005E05A6"/>
    <w:rsid w:val="005E0623"/>
    <w:rsid w:val="005E0F35"/>
    <w:rsid w:val="005E0F82"/>
    <w:rsid w:val="005E1937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A49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8FD"/>
    <w:rsid w:val="005F396A"/>
    <w:rsid w:val="005F3CB3"/>
    <w:rsid w:val="005F3D36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6EC5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9B9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AA0"/>
    <w:rsid w:val="00633CAB"/>
    <w:rsid w:val="006343BE"/>
    <w:rsid w:val="00634D65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AC5"/>
    <w:rsid w:val="00640B19"/>
    <w:rsid w:val="00641591"/>
    <w:rsid w:val="006415CF"/>
    <w:rsid w:val="00641C55"/>
    <w:rsid w:val="00641EC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945"/>
    <w:rsid w:val="00646E02"/>
    <w:rsid w:val="00647000"/>
    <w:rsid w:val="006473D1"/>
    <w:rsid w:val="00647EFB"/>
    <w:rsid w:val="00650576"/>
    <w:rsid w:val="00650788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6FE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369"/>
    <w:rsid w:val="00687F84"/>
    <w:rsid w:val="0069019F"/>
    <w:rsid w:val="006907D1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0F7"/>
    <w:rsid w:val="006A2474"/>
    <w:rsid w:val="006A26A1"/>
    <w:rsid w:val="006A2708"/>
    <w:rsid w:val="006A2793"/>
    <w:rsid w:val="006A28BE"/>
    <w:rsid w:val="006A35BC"/>
    <w:rsid w:val="006A37E1"/>
    <w:rsid w:val="006A420B"/>
    <w:rsid w:val="006A4C33"/>
    <w:rsid w:val="006A4FF4"/>
    <w:rsid w:val="006A549A"/>
    <w:rsid w:val="006A5724"/>
    <w:rsid w:val="006A5AC3"/>
    <w:rsid w:val="006A5F37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6DBF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237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73"/>
    <w:rsid w:val="006F283D"/>
    <w:rsid w:val="006F29F1"/>
    <w:rsid w:val="006F3228"/>
    <w:rsid w:val="006F34D5"/>
    <w:rsid w:val="006F3B3E"/>
    <w:rsid w:val="006F3F09"/>
    <w:rsid w:val="006F4360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B45"/>
    <w:rsid w:val="006F6BD6"/>
    <w:rsid w:val="006F6BFB"/>
    <w:rsid w:val="006F6E6E"/>
    <w:rsid w:val="006F702B"/>
    <w:rsid w:val="006F71E9"/>
    <w:rsid w:val="006F73E1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0E1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1F2D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361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5F"/>
    <w:rsid w:val="007616C8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0E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745"/>
    <w:rsid w:val="00777E61"/>
    <w:rsid w:val="00780527"/>
    <w:rsid w:val="00780A6B"/>
    <w:rsid w:val="00781190"/>
    <w:rsid w:val="00781915"/>
    <w:rsid w:val="0078216D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1CD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A6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C1E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1DA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7EE"/>
    <w:rsid w:val="007D3F41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7FE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351B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C89"/>
    <w:rsid w:val="00806D18"/>
    <w:rsid w:val="008070E2"/>
    <w:rsid w:val="0080737A"/>
    <w:rsid w:val="008077EA"/>
    <w:rsid w:val="00807B5C"/>
    <w:rsid w:val="00810344"/>
    <w:rsid w:val="00810525"/>
    <w:rsid w:val="008106B3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15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8AF"/>
    <w:rsid w:val="008209B8"/>
    <w:rsid w:val="00820BC3"/>
    <w:rsid w:val="00821285"/>
    <w:rsid w:val="0082212F"/>
    <w:rsid w:val="00822552"/>
    <w:rsid w:val="0082276A"/>
    <w:rsid w:val="00822A3A"/>
    <w:rsid w:val="00823920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D0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6EFA"/>
    <w:rsid w:val="00837A53"/>
    <w:rsid w:val="00837AA5"/>
    <w:rsid w:val="00837EA5"/>
    <w:rsid w:val="0084009E"/>
    <w:rsid w:val="0084078A"/>
    <w:rsid w:val="00840826"/>
    <w:rsid w:val="00841E07"/>
    <w:rsid w:val="00842BF9"/>
    <w:rsid w:val="00843044"/>
    <w:rsid w:val="008436F0"/>
    <w:rsid w:val="0084379E"/>
    <w:rsid w:val="00843AD9"/>
    <w:rsid w:val="00843BF9"/>
    <w:rsid w:val="00844161"/>
    <w:rsid w:val="008445B9"/>
    <w:rsid w:val="008446E9"/>
    <w:rsid w:val="008455CE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A3F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983"/>
    <w:rsid w:val="00865C7F"/>
    <w:rsid w:val="00865E6F"/>
    <w:rsid w:val="00866005"/>
    <w:rsid w:val="00866097"/>
    <w:rsid w:val="008663A9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3A0D"/>
    <w:rsid w:val="0087494F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152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2F"/>
    <w:rsid w:val="008A3634"/>
    <w:rsid w:val="008A3ADF"/>
    <w:rsid w:val="008A3E1B"/>
    <w:rsid w:val="008A4C71"/>
    <w:rsid w:val="008A4DDD"/>
    <w:rsid w:val="008A51EA"/>
    <w:rsid w:val="008A5508"/>
    <w:rsid w:val="008A62C8"/>
    <w:rsid w:val="008A68E7"/>
    <w:rsid w:val="008A6A4C"/>
    <w:rsid w:val="008A6B3D"/>
    <w:rsid w:val="008A6D62"/>
    <w:rsid w:val="008A73C6"/>
    <w:rsid w:val="008A7844"/>
    <w:rsid w:val="008A7DF1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1D24"/>
    <w:rsid w:val="008C23A2"/>
    <w:rsid w:val="008C2569"/>
    <w:rsid w:val="008C2746"/>
    <w:rsid w:val="008C3944"/>
    <w:rsid w:val="008C3C74"/>
    <w:rsid w:val="008C3C7E"/>
    <w:rsid w:val="008C40B6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487"/>
    <w:rsid w:val="008D3567"/>
    <w:rsid w:val="008D35C3"/>
    <w:rsid w:val="008D3639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81A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3C9"/>
    <w:rsid w:val="008E67C2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16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CDA"/>
    <w:rsid w:val="00943D65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79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EA6"/>
    <w:rsid w:val="00960279"/>
    <w:rsid w:val="009602FF"/>
    <w:rsid w:val="00960A93"/>
    <w:rsid w:val="00960BC2"/>
    <w:rsid w:val="0096153F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DEA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99E"/>
    <w:rsid w:val="00982D19"/>
    <w:rsid w:val="00982D90"/>
    <w:rsid w:val="00982E14"/>
    <w:rsid w:val="009832D7"/>
    <w:rsid w:val="009833C7"/>
    <w:rsid w:val="00983671"/>
    <w:rsid w:val="00983914"/>
    <w:rsid w:val="00983ABC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08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1B2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1E4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35A"/>
    <w:rsid w:val="009E0792"/>
    <w:rsid w:val="009E09BD"/>
    <w:rsid w:val="009E0C0F"/>
    <w:rsid w:val="009E0DA1"/>
    <w:rsid w:val="009E1192"/>
    <w:rsid w:val="009E13AB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948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5C9"/>
    <w:rsid w:val="00A129D3"/>
    <w:rsid w:val="00A12AA6"/>
    <w:rsid w:val="00A12CF0"/>
    <w:rsid w:val="00A12FDA"/>
    <w:rsid w:val="00A132F5"/>
    <w:rsid w:val="00A13429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097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33C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6F2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2A1"/>
    <w:rsid w:val="00A407DD"/>
    <w:rsid w:val="00A412A7"/>
    <w:rsid w:val="00A41E64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56C"/>
    <w:rsid w:val="00A44B12"/>
    <w:rsid w:val="00A4518D"/>
    <w:rsid w:val="00A45EBD"/>
    <w:rsid w:val="00A464F8"/>
    <w:rsid w:val="00A473CC"/>
    <w:rsid w:val="00A4745D"/>
    <w:rsid w:val="00A477F9"/>
    <w:rsid w:val="00A478D7"/>
    <w:rsid w:val="00A47B1D"/>
    <w:rsid w:val="00A47F10"/>
    <w:rsid w:val="00A47F7F"/>
    <w:rsid w:val="00A50607"/>
    <w:rsid w:val="00A50898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5C2C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53"/>
    <w:rsid w:val="00A7549D"/>
    <w:rsid w:val="00A75778"/>
    <w:rsid w:val="00A75C5D"/>
    <w:rsid w:val="00A764F1"/>
    <w:rsid w:val="00A76880"/>
    <w:rsid w:val="00A805C3"/>
    <w:rsid w:val="00A807F5"/>
    <w:rsid w:val="00A80912"/>
    <w:rsid w:val="00A80EDC"/>
    <w:rsid w:val="00A80F7C"/>
    <w:rsid w:val="00A81BF3"/>
    <w:rsid w:val="00A81CE5"/>
    <w:rsid w:val="00A81FF7"/>
    <w:rsid w:val="00A821F3"/>
    <w:rsid w:val="00A823A5"/>
    <w:rsid w:val="00A823EA"/>
    <w:rsid w:val="00A82E05"/>
    <w:rsid w:val="00A83401"/>
    <w:rsid w:val="00A834BF"/>
    <w:rsid w:val="00A83792"/>
    <w:rsid w:val="00A837EE"/>
    <w:rsid w:val="00A83AB5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48D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97E27"/>
    <w:rsid w:val="00AA04D8"/>
    <w:rsid w:val="00AA0B40"/>
    <w:rsid w:val="00AA0CB3"/>
    <w:rsid w:val="00AA0D4F"/>
    <w:rsid w:val="00AA107A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3B52"/>
    <w:rsid w:val="00AC4DB9"/>
    <w:rsid w:val="00AC52F4"/>
    <w:rsid w:val="00AC58B4"/>
    <w:rsid w:val="00AC5C69"/>
    <w:rsid w:val="00AC5FFC"/>
    <w:rsid w:val="00AC6910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6F2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1AF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893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19A"/>
    <w:rsid w:val="00B22FC5"/>
    <w:rsid w:val="00B23059"/>
    <w:rsid w:val="00B232C1"/>
    <w:rsid w:val="00B23882"/>
    <w:rsid w:val="00B23B64"/>
    <w:rsid w:val="00B2429F"/>
    <w:rsid w:val="00B248EE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1AC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67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3C2D"/>
    <w:rsid w:val="00B44284"/>
    <w:rsid w:val="00B44B19"/>
    <w:rsid w:val="00B4576C"/>
    <w:rsid w:val="00B46047"/>
    <w:rsid w:val="00B460CA"/>
    <w:rsid w:val="00B462A9"/>
    <w:rsid w:val="00B46B82"/>
    <w:rsid w:val="00B50702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A8F"/>
    <w:rsid w:val="00B55E6D"/>
    <w:rsid w:val="00B56138"/>
    <w:rsid w:val="00B578B9"/>
    <w:rsid w:val="00B57F06"/>
    <w:rsid w:val="00B600E0"/>
    <w:rsid w:val="00B60689"/>
    <w:rsid w:val="00B60D1F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095"/>
    <w:rsid w:val="00B82171"/>
    <w:rsid w:val="00B8228B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47"/>
    <w:rsid w:val="00B93E60"/>
    <w:rsid w:val="00B93ED7"/>
    <w:rsid w:val="00B93EE5"/>
    <w:rsid w:val="00B94097"/>
    <w:rsid w:val="00B95415"/>
    <w:rsid w:val="00B9579A"/>
    <w:rsid w:val="00B95B15"/>
    <w:rsid w:val="00B95BAD"/>
    <w:rsid w:val="00B95C08"/>
    <w:rsid w:val="00B95EDF"/>
    <w:rsid w:val="00B96838"/>
    <w:rsid w:val="00B96EA9"/>
    <w:rsid w:val="00B9713E"/>
    <w:rsid w:val="00B97DEF"/>
    <w:rsid w:val="00BA0AE4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80D"/>
    <w:rsid w:val="00BA61EE"/>
    <w:rsid w:val="00BA6295"/>
    <w:rsid w:val="00BA6486"/>
    <w:rsid w:val="00BA676D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3B4"/>
    <w:rsid w:val="00BB35EB"/>
    <w:rsid w:val="00BB3947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06B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486"/>
    <w:rsid w:val="00BD6620"/>
    <w:rsid w:val="00BD6AC2"/>
    <w:rsid w:val="00BD6BB0"/>
    <w:rsid w:val="00BD6CBF"/>
    <w:rsid w:val="00BD71A4"/>
    <w:rsid w:val="00BD72D1"/>
    <w:rsid w:val="00BD7352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AD2"/>
    <w:rsid w:val="00BF1BEC"/>
    <w:rsid w:val="00BF1E12"/>
    <w:rsid w:val="00BF2F3D"/>
    <w:rsid w:val="00BF3024"/>
    <w:rsid w:val="00BF39A4"/>
    <w:rsid w:val="00BF3BB6"/>
    <w:rsid w:val="00BF40A8"/>
    <w:rsid w:val="00BF415E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5B5D"/>
    <w:rsid w:val="00C060E2"/>
    <w:rsid w:val="00C061D7"/>
    <w:rsid w:val="00C0621F"/>
    <w:rsid w:val="00C0720A"/>
    <w:rsid w:val="00C07436"/>
    <w:rsid w:val="00C075EC"/>
    <w:rsid w:val="00C07FC4"/>
    <w:rsid w:val="00C10BBB"/>
    <w:rsid w:val="00C11359"/>
    <w:rsid w:val="00C11A3D"/>
    <w:rsid w:val="00C11D7B"/>
    <w:rsid w:val="00C12017"/>
    <w:rsid w:val="00C12625"/>
    <w:rsid w:val="00C12D28"/>
    <w:rsid w:val="00C134B0"/>
    <w:rsid w:val="00C13E48"/>
    <w:rsid w:val="00C141EB"/>
    <w:rsid w:val="00C14353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17DBF"/>
    <w:rsid w:val="00C2004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7F"/>
    <w:rsid w:val="00C24DDB"/>
    <w:rsid w:val="00C24EBE"/>
    <w:rsid w:val="00C24F3B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4CF4"/>
    <w:rsid w:val="00C3518A"/>
    <w:rsid w:val="00C35A97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1E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5C21"/>
    <w:rsid w:val="00CA6A11"/>
    <w:rsid w:val="00CA6DB0"/>
    <w:rsid w:val="00CA7B33"/>
    <w:rsid w:val="00CB005C"/>
    <w:rsid w:val="00CB0400"/>
    <w:rsid w:val="00CB13E1"/>
    <w:rsid w:val="00CB16E7"/>
    <w:rsid w:val="00CB1732"/>
    <w:rsid w:val="00CB173D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0CA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CBE"/>
    <w:rsid w:val="00CD1EE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457"/>
    <w:rsid w:val="00CE4770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458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B8E"/>
    <w:rsid w:val="00CF5DF1"/>
    <w:rsid w:val="00CF6D42"/>
    <w:rsid w:val="00CF7407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4D9"/>
    <w:rsid w:val="00D10644"/>
    <w:rsid w:val="00D10B08"/>
    <w:rsid w:val="00D10B67"/>
    <w:rsid w:val="00D10B99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677C7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BF8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C56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A94"/>
    <w:rsid w:val="00DB5C2E"/>
    <w:rsid w:val="00DB5EFD"/>
    <w:rsid w:val="00DB61BD"/>
    <w:rsid w:val="00DB61E2"/>
    <w:rsid w:val="00DB6647"/>
    <w:rsid w:val="00DB66CE"/>
    <w:rsid w:val="00DB6F03"/>
    <w:rsid w:val="00DB7088"/>
    <w:rsid w:val="00DB741D"/>
    <w:rsid w:val="00DC038A"/>
    <w:rsid w:val="00DC0A88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610"/>
    <w:rsid w:val="00DF6819"/>
    <w:rsid w:val="00DF6C20"/>
    <w:rsid w:val="00DF73DD"/>
    <w:rsid w:val="00DF7C4C"/>
    <w:rsid w:val="00DF7EB3"/>
    <w:rsid w:val="00E00B1E"/>
    <w:rsid w:val="00E0113A"/>
    <w:rsid w:val="00E012F6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6C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1FC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04B"/>
    <w:rsid w:val="00E74081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8CA"/>
    <w:rsid w:val="00E76B5C"/>
    <w:rsid w:val="00E77025"/>
    <w:rsid w:val="00E77469"/>
    <w:rsid w:val="00E7746C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7F8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85E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1D5"/>
    <w:rsid w:val="00EA22B3"/>
    <w:rsid w:val="00EA234A"/>
    <w:rsid w:val="00EA2E48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4C8D"/>
    <w:rsid w:val="00EA5424"/>
    <w:rsid w:val="00EA544B"/>
    <w:rsid w:val="00EA561A"/>
    <w:rsid w:val="00EA57D3"/>
    <w:rsid w:val="00EA5D61"/>
    <w:rsid w:val="00EA6058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76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4D0"/>
    <w:rsid w:val="00EC7864"/>
    <w:rsid w:val="00EC7BFF"/>
    <w:rsid w:val="00EC7C44"/>
    <w:rsid w:val="00ED015E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C02"/>
    <w:rsid w:val="00ED616F"/>
    <w:rsid w:val="00ED722A"/>
    <w:rsid w:val="00ED74B3"/>
    <w:rsid w:val="00EE023F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1F7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49B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27BCB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CDC"/>
    <w:rsid w:val="00F42DE9"/>
    <w:rsid w:val="00F4312A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B3F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F9"/>
    <w:rsid w:val="00F65C11"/>
    <w:rsid w:val="00F65E8D"/>
    <w:rsid w:val="00F6628A"/>
    <w:rsid w:val="00F664E9"/>
    <w:rsid w:val="00F66838"/>
    <w:rsid w:val="00F66F17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5D6"/>
    <w:rsid w:val="00F876A0"/>
    <w:rsid w:val="00F87ABC"/>
    <w:rsid w:val="00F87FCE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2886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0763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4514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1D5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3D85"/>
    <w:rsid w:val="00FF441F"/>
    <w:rsid w:val="00FF4BEE"/>
    <w:rsid w:val="00FF4E3C"/>
    <w:rsid w:val="00FF518B"/>
    <w:rsid w:val="00FF5330"/>
    <w:rsid w:val="00FF5511"/>
    <w:rsid w:val="00FF58E4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F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qFormat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4</Pages>
  <Words>1730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119</cp:revision>
  <dcterms:created xsi:type="dcterms:W3CDTF">2023-04-07T08:44:00Z</dcterms:created>
  <dcterms:modified xsi:type="dcterms:W3CDTF">2023-09-29T08:28:00Z</dcterms:modified>
</cp:coreProperties>
</file>